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3FCD" w14:textId="77777777" w:rsidR="00994554" w:rsidRPr="00CF112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b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b/>
          <w:szCs w:val="22"/>
          <w:u w:val="single"/>
          <w:shd w:val="clear" w:color="auto" w:fill="FFFFFF"/>
        </w:rPr>
        <w:t xml:space="preserve">POLITYKA BEZPIECZEŃSTWA INFORMACJI I OCHRONY DANYCH OSOBOWYCH </w:t>
      </w:r>
    </w:p>
    <w:p w14:paraId="79BF3FCE" w14:textId="77777777" w:rsidR="00994554" w:rsidRPr="00CF1122" w:rsidRDefault="00994554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</w:pPr>
    </w:p>
    <w:p w14:paraId="79BF3FCF" w14:textId="2BA8BA74" w:rsidR="00994554" w:rsidRPr="0047119A" w:rsidRDefault="006F336C" w:rsidP="009322E9">
      <w:pPr>
        <w:pStyle w:val="Akapitzlist"/>
        <w:numPr>
          <w:ilvl w:val="0"/>
          <w:numId w:val="24"/>
        </w:numPr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Polityka Bezpieczeństwa Informacji i Ochrony Danych Osobowych</w:t>
      </w:r>
      <w:r w:rsidR="0013746A"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stanowi o wymogach, zasadach i </w:t>
      </w: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regulacjach ochrony danych osobowych w Technikum Leśnym w Warcinie im. profesora Stanisława Sokołowskiego</w:t>
      </w:r>
      <w:r w:rsidR="00F26785"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zwanej dalej  Podmiotem, jak również określa procedury i zas</w:t>
      </w:r>
      <w:r w:rsidR="0013746A"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ady bezpieczeństwa informacji w </w:t>
      </w: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Podmiocie.</w:t>
      </w:r>
    </w:p>
    <w:p w14:paraId="79BF3FD0" w14:textId="0EB5584C" w:rsidR="00994554" w:rsidRPr="0047119A" w:rsidRDefault="006F336C" w:rsidP="009322E9">
      <w:pPr>
        <w:pStyle w:val="Akapitzlist"/>
        <w:numPr>
          <w:ilvl w:val="0"/>
          <w:numId w:val="2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Polityka Bezpieczeństwa Informacji i Ochrony Danych Osobowych Podmiotu została opracowana na zlecenie Administratora Danych Osobowych, zwanego d</w:t>
      </w:r>
      <w:r w:rsidR="0013746A"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alej Administratorem lub ADO, w </w:t>
      </w: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celu spełnienia wymagań określonych w Rozporządzeniu Parlamentu Europejskiego i Rady (UE) 2016/679 z dnia </w:t>
      </w:r>
      <w:r w:rsidR="004D6C3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br/>
      </w: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79BF3FD1" w14:textId="77777777" w:rsidR="00994554" w:rsidRPr="0047119A" w:rsidRDefault="006F336C" w:rsidP="009322E9">
      <w:pPr>
        <w:pStyle w:val="Akapitzlist"/>
        <w:numPr>
          <w:ilvl w:val="0"/>
          <w:numId w:val="24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Polityka Zarządzania Bezpieczeństwem Informacji i Ochrony Danych Osobowych, zwana dalej Polityką powstała w związku z wykorzystywaniem:</w:t>
      </w:r>
    </w:p>
    <w:p w14:paraId="79BF3FD2" w14:textId="77777777" w:rsidR="00994554" w:rsidRPr="0096140A" w:rsidRDefault="006F336C" w:rsidP="009322E9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danych osobowych w rozumieniu RODO,</w:t>
      </w:r>
    </w:p>
    <w:p w14:paraId="79BF3FD3" w14:textId="4129C568" w:rsidR="00994554" w:rsidRPr="0096140A" w:rsidRDefault="006F336C" w:rsidP="009322E9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innych, niż dane osobowe, danych (informacji) podlegających ochronie,</w:t>
      </w:r>
    </w:p>
    <w:p w14:paraId="79BF3FD4" w14:textId="45AB9E2B" w:rsidR="00994554" w:rsidRPr="0096140A" w:rsidRDefault="006F336C" w:rsidP="009322E9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technologii informatycznych</w:t>
      </w:r>
      <w:r w:rsidR="002E261D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służących do realizacji zadań Podmiotu.</w:t>
      </w:r>
    </w:p>
    <w:p w14:paraId="79BF3FD5" w14:textId="2574BC89" w:rsidR="00994554" w:rsidRPr="0047119A" w:rsidRDefault="006F336C" w:rsidP="009322E9">
      <w:pPr>
        <w:pStyle w:val="Akapitzlist"/>
        <w:numPr>
          <w:ilvl w:val="0"/>
          <w:numId w:val="24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Odpowiedzialność</w:t>
      </w:r>
      <w:r w:rsidR="00C267AA"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:</w:t>
      </w: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</w:p>
    <w:p w14:paraId="79BF3FD6" w14:textId="0A718CCB" w:rsidR="00994554" w:rsidRPr="00CF1122" w:rsidRDefault="006F336C" w:rsidP="00617F69">
      <w:pPr>
        <w:numPr>
          <w:ilvl w:val="0"/>
          <w:numId w:val="1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wdrożenie niniejszej Polityki - Administrator Danych Osobowych</w:t>
      </w:r>
      <w:r w:rsidR="00C267A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D7" w14:textId="413303FD" w:rsidR="00994554" w:rsidRPr="00CF1122" w:rsidRDefault="006F336C" w:rsidP="00617F69">
      <w:pPr>
        <w:numPr>
          <w:ilvl w:val="0"/>
          <w:numId w:val="1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stosowanie niniejszej Polityki – pracownicy Podmiotu przetwarzający dane osobowe</w:t>
      </w:r>
      <w:r w:rsidR="00C267A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D8" w14:textId="77777777" w:rsidR="00994554" w:rsidRPr="00CF1122" w:rsidRDefault="006F336C" w:rsidP="00617F69">
      <w:pPr>
        <w:numPr>
          <w:ilvl w:val="0"/>
          <w:numId w:val="1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nadzór i monitorowanie przestrzegania niniejszej Polityki:</w:t>
      </w:r>
    </w:p>
    <w:p w14:paraId="79BF3FD9" w14:textId="1D0A46D6" w:rsidR="00994554" w:rsidRPr="00CF1122" w:rsidRDefault="006F336C" w:rsidP="009322E9">
      <w:pPr>
        <w:numPr>
          <w:ilvl w:val="0"/>
          <w:numId w:val="20"/>
        </w:numPr>
        <w:suppressAutoHyphens/>
        <w:spacing w:line="360" w:lineRule="auto"/>
        <w:ind w:left="127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Administrator Danych Osobowych</w:t>
      </w:r>
      <w:r w:rsidR="00C267A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DA" w14:textId="2E4C5370" w:rsidR="00994554" w:rsidRPr="00CF1122" w:rsidRDefault="006F336C" w:rsidP="009322E9">
      <w:pPr>
        <w:numPr>
          <w:ilvl w:val="0"/>
          <w:numId w:val="20"/>
        </w:numPr>
        <w:suppressAutoHyphens/>
        <w:spacing w:line="360" w:lineRule="auto"/>
        <w:ind w:left="127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C267A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3FDB" w14:textId="77777777" w:rsidR="00994554" w:rsidRPr="0047119A" w:rsidRDefault="006F336C" w:rsidP="009322E9">
      <w:pPr>
        <w:pStyle w:val="Akapitzlist"/>
        <w:numPr>
          <w:ilvl w:val="0"/>
          <w:numId w:val="2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47119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Skróty i definicje:</w:t>
      </w:r>
    </w:p>
    <w:p w14:paraId="79BF3FDC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Polityka</w:t>
      </w:r>
      <w:r w:rsidR="00625CD6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oznacza niniejszą Politykę Bezpieczeństwa Informacji i Ochrony Danych Osobowych,</w:t>
      </w:r>
    </w:p>
    <w:p w14:paraId="79BF3FDD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RODO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oznacza Rozporządzenia Parlamentu Europejskiego i Rady (UE</w:t>
      </w:r>
      <w:r w:rsidR="0013746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) 2016/679/UE z 27.04.2016 r. w 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sprawie ochrony osób fizycznych w związku z przetwarzaniem danych osobowych i w sprawie swobodnego przepływu takich danych oraz uchylenia dyrektywy 95</w:t>
      </w:r>
      <w:r w:rsidR="0013746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/46/WE (ogólne rozporządzenie o 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ochronie danych) (Dz. Urz. UE L 119, s. 1). </w:t>
      </w:r>
    </w:p>
    <w:p w14:paraId="79BF3FDE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Dane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oznaczają dane osobowe.</w:t>
      </w:r>
    </w:p>
    <w:p w14:paraId="79BF3FDF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Dane wrażliwe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oznaczają dane specjalne i dane karne.</w:t>
      </w:r>
    </w:p>
    <w:p w14:paraId="79BF3FE0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Dane specjalne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-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oznaczają dane wymienione w art. 9 RODO, tj. dane osobowe ujawniające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 xml:space="preserve">pochodzenie rasowe lub etniczne, poglądy polityczne, przekonania religijne lub światopoglądowe, przynależność do związków zawodowych, dane genetyczne, biometryczne w celu jednoznacznego zidentyfikowania osoby fizycznej lub dane dotyczące zdrowia, seksualności lub orientacji seksualnej. </w:t>
      </w:r>
    </w:p>
    <w:p w14:paraId="79BF3FE1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Dane karne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oznaczają dane wymienione w art. 10 RODO, tj. dane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dotyczące wyroków skazujących i 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naruszeń prawa.</w:t>
      </w:r>
    </w:p>
    <w:p w14:paraId="79BF3FE3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Osoba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oznacza osobę, której dane dotyczą. </w:t>
      </w:r>
    </w:p>
    <w:p w14:paraId="79BF3FE4" w14:textId="23AE3324" w:rsidR="00994554" w:rsidRPr="00C16FC0" w:rsidRDefault="00625CD6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IOD</w:t>
      </w:r>
      <w:r w:rsidR="006F336C"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 </w:t>
      </w:r>
      <w:r w:rsidR="006F336C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lub</w:t>
      </w:r>
      <w:r w:rsidR="006F336C"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 Inspektor</w:t>
      </w:r>
      <w:r w:rsidR="006F336C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="006F336C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oznacza Inspektora Ochrony Danych Osobowych w Podmiocie</w:t>
      </w:r>
      <w:r w:rsidR="00DD4FB6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3FE5" w14:textId="77777777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RCPD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lub</w:t>
      </w: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 Rejestr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oznacza Rejestr Czynności Przetwarzania Danych Osobowych</w:t>
      </w:r>
    </w:p>
    <w:p w14:paraId="79BF3FE6" w14:textId="49D6C49B" w:rsidR="00994554" w:rsidRPr="00C16FC0" w:rsidRDefault="006F336C" w:rsidP="009322E9">
      <w:pPr>
        <w:pStyle w:val="Akapitzlist"/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ADO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lub</w:t>
      </w:r>
      <w:r w:rsidRPr="00C16FC0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 Administrator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96140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-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oznacza Administratora Danych Osobowych w Podmiocie, </w:t>
      </w:r>
      <w:r w:rsidR="00625CD6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którym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jest Dyrektor </w:t>
      </w:r>
      <w:r w:rsidR="005606F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szkoły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A4F683B" w14:textId="77777777" w:rsidR="00C267AA" w:rsidRPr="003F7732" w:rsidRDefault="006F336C" w:rsidP="00C267AA">
      <w:pPr>
        <w:suppressAutoHyphens/>
        <w:jc w:val="center"/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Ogólne cele i zakres oraz znaczenie bezpieczeństwa</w:t>
      </w:r>
    </w:p>
    <w:p w14:paraId="79BF3FE8" w14:textId="2704B2E3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jako mechanizmu umożliwiającego współużytkowanie informacji</w:t>
      </w:r>
    </w:p>
    <w:p w14:paraId="79BF3FE9" w14:textId="77777777" w:rsidR="00994554" w:rsidRPr="00C16FC0" w:rsidRDefault="006F336C" w:rsidP="009322E9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Celem zapewnienia bezpieczeństwa informacji jest w szczególności:</w:t>
      </w:r>
    </w:p>
    <w:p w14:paraId="79BF3FEA" w14:textId="77777777" w:rsidR="00994554" w:rsidRPr="00CF1122" w:rsidRDefault="006F336C" w:rsidP="00617F69">
      <w:pPr>
        <w:numPr>
          <w:ilvl w:val="0"/>
          <w:numId w:val="2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ochrona zasobów informacji, </w:t>
      </w:r>
    </w:p>
    <w:p w14:paraId="79BF3FEB" w14:textId="77777777" w:rsidR="00994554" w:rsidRPr="00CF1122" w:rsidRDefault="006F336C" w:rsidP="00617F69">
      <w:pPr>
        <w:numPr>
          <w:ilvl w:val="0"/>
          <w:numId w:val="2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zapewnienie ciągłości działania Podmiotu i sprawnej obsługi jego klientów i partnerów,</w:t>
      </w:r>
    </w:p>
    <w:p w14:paraId="79BF3FEC" w14:textId="77777777" w:rsidR="00994554" w:rsidRPr="00CF1122" w:rsidRDefault="006F336C" w:rsidP="00617F69">
      <w:pPr>
        <w:numPr>
          <w:ilvl w:val="0"/>
          <w:numId w:val="2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zgodność procesu przetwarzania informacji z przepisami prawa,</w:t>
      </w:r>
    </w:p>
    <w:p w14:paraId="79BF3FED" w14:textId="77777777" w:rsidR="00994554" w:rsidRPr="00CF1122" w:rsidRDefault="006F336C" w:rsidP="00617F69">
      <w:pPr>
        <w:numPr>
          <w:ilvl w:val="0"/>
          <w:numId w:val="2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ochrona wizerunku Podmiotu.</w:t>
      </w:r>
    </w:p>
    <w:p w14:paraId="79BF3FEF" w14:textId="0F8467E9" w:rsidR="00994554" w:rsidRPr="00C16FC0" w:rsidRDefault="006F336C" w:rsidP="009322E9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Spełnienie powyższych celów</w:t>
      </w:r>
      <w:r w:rsidR="003C6772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poprzez zachowanie poufności, integralności, dostępności, rozliczalności, autentyczności, niezaprzeczalności danych</w:t>
      </w:r>
      <w:r w:rsidR="00647754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w ramach Polityki umożliwia współużytkowanie informacji.</w:t>
      </w:r>
      <w:r w:rsidR="00647754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Polityka jest w sposób ciągły aktualizowana tak, aby jej postanowienia odzwierciedlały zmiany prawa, bieżące wymogi techniczne jak i zmieniające się realia pracy Podmiotu.</w:t>
      </w:r>
    </w:p>
    <w:p w14:paraId="79BF3FF0" w14:textId="77777777" w:rsidR="00994554" w:rsidRPr="00C16FC0" w:rsidRDefault="006F336C" w:rsidP="009322E9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Realizując Politykę w zakresie ochrony danych osobowych Podmiot dokłada szczególnej staranności w celu ochrony interesów osób, których dane dotyczą, a w szczególności zapewnia warunki, aby dane te były : </w:t>
      </w:r>
    </w:p>
    <w:p w14:paraId="79BF3FF1" w14:textId="0B077F21" w:rsidR="00994554" w:rsidRPr="00CF1122" w:rsidRDefault="006F336C" w:rsidP="00617F69">
      <w:pPr>
        <w:numPr>
          <w:ilvl w:val="0"/>
          <w:numId w:val="3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przetwarzane zgodnie z prawem</w:t>
      </w:r>
      <w:r w:rsidR="0022433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2" w14:textId="77777777" w:rsidR="00994554" w:rsidRPr="00CF1122" w:rsidRDefault="006F336C" w:rsidP="00617F69">
      <w:pPr>
        <w:numPr>
          <w:ilvl w:val="0"/>
          <w:numId w:val="3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zbierane dla oznaczonych, zgodnych z prawem celów i nie poddawane dalszemu przetwarzaniu niezgodnie z tymi celami,</w:t>
      </w:r>
    </w:p>
    <w:p w14:paraId="79BF3FF3" w14:textId="77777777" w:rsidR="00994554" w:rsidRPr="00CF1122" w:rsidRDefault="006F336C" w:rsidP="00617F69">
      <w:pPr>
        <w:numPr>
          <w:ilvl w:val="0"/>
          <w:numId w:val="3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merytorycznie poprawne i adekwatne w stosunku do celu, w jakim są przetwarzane,</w:t>
      </w:r>
    </w:p>
    <w:p w14:paraId="79BF3FF4" w14:textId="39A4DAF9" w:rsidR="00994554" w:rsidRPr="00CF1122" w:rsidRDefault="006F336C" w:rsidP="00617F69">
      <w:pPr>
        <w:numPr>
          <w:ilvl w:val="0"/>
          <w:numId w:val="3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przechowywane w postaci umożliwiającej identyfikację osób, których dotyczą, nie dłużej niż jest to niezbędne do osiągnięcia celu przetwarzania.</w:t>
      </w:r>
    </w:p>
    <w:p w14:paraId="79BF3FF5" w14:textId="77777777" w:rsidR="00994554" w:rsidRPr="00C16FC0" w:rsidRDefault="006F336C" w:rsidP="009322E9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Realizując Politykę zapewnia się przetwarzanym danym :</w:t>
      </w:r>
    </w:p>
    <w:p w14:paraId="79BF3FF6" w14:textId="470D51AA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poufność – informacja nie jest udostępniana ani ujawniana nieupoważnionym osobom</w:t>
      </w:r>
      <w:r w:rsidR="004D6C3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lub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4D6C3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br/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podmiotom, tylko uprawnieni pracownicy mają dostęp do odpowiednich kategorii informacji</w:t>
      </w:r>
      <w:r w:rsidR="0022433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7" w14:textId="7A6A1D25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integralność – dane nie zostają zmienione lub zniszczone w sposób nieautoryzowany, zapewnia się dokładność i kompletność informacji oraz metod jej przetwarzania</w:t>
      </w:r>
      <w:r w:rsidR="00E91B14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8" w14:textId="53ECFC24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dostępność – istnieje możliwość wykorzystania informacji na żądanie, w założonym czasie, przez autoryzowany podmiot gwarantując zapewnienie, że tylko upoważnione osoby Podmiotu mają dostęp do informacji i związanych  z nią zasobów wtedy gdy jest to potrzebne</w:t>
      </w:r>
      <w:r w:rsidR="00E91B14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9" w14:textId="77777777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rozliczalność – możliwość jednoznacznego przypisania działań poszczególnym osobom,</w:t>
      </w:r>
    </w:p>
    <w:p w14:paraId="79BF3FFA" w14:textId="4591D9E7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autentyczność – zapewnienie, że tożsamość podmiotu lub zasobu jest taka, jak deklarowana</w:t>
      </w:r>
      <w:r w:rsidR="00E91B14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B" w14:textId="0761512E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niezaprzeczalność – uczestnictwo w całości lub części wymiany danych przez jeden z podmiotów uczestniczących w tej wymianie jest niepodważalne</w:t>
      </w:r>
      <w:r w:rsidR="00E91B14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C" w14:textId="77777777" w:rsidR="00994554" w:rsidRPr="00CF1122" w:rsidRDefault="006F336C" w:rsidP="00617F69">
      <w:pPr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niezawodność – zamierzone zachowania i skutki są spójne.</w:t>
      </w:r>
    </w:p>
    <w:p w14:paraId="79BF3FFD" w14:textId="77777777" w:rsidR="00994554" w:rsidRPr="00C16FC0" w:rsidRDefault="006F336C" w:rsidP="009322E9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Polityka ma również na celu zredukowanie możliwości wystąpienia nega</w:t>
      </w:r>
      <w:r w:rsidR="0013746A"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tywnych konsekwencji naruszeń w zakresie</w:t>
      </w:r>
      <w:r w:rsidRPr="00C16FC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:</w:t>
      </w:r>
    </w:p>
    <w:p w14:paraId="79BF3FFE" w14:textId="60198A4E" w:rsidR="00994554" w:rsidRPr="00CF1122" w:rsidRDefault="006F336C" w:rsidP="00617F69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naruszeń danych osobowych rozumianych jako prywatne dobro powierzone Podmiotu</w:t>
      </w:r>
      <w:r w:rsidR="0011461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3FFF" w14:textId="4EDBC739" w:rsidR="00994554" w:rsidRPr="00CF1122" w:rsidRDefault="006F336C" w:rsidP="00617F69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naruszeń przepisów prawa oraz innych regulacji</w:t>
      </w:r>
      <w:r w:rsidR="0011461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00" w14:textId="6076BD55" w:rsidR="00994554" w:rsidRPr="00CF1122" w:rsidRDefault="006F336C" w:rsidP="00617F69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utraty lub obniżenia reputacji Podmiotu</w:t>
      </w:r>
      <w:r w:rsidR="0011461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01" w14:textId="464A47BC" w:rsidR="00994554" w:rsidRPr="00CF1122" w:rsidRDefault="006F336C" w:rsidP="00617F69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start finansowych ponoszonych w wyniku nałożonych kar</w:t>
      </w:r>
      <w:r w:rsidR="0011461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02" w14:textId="2AAED9AE" w:rsidR="00994554" w:rsidRPr="00CF1122" w:rsidRDefault="006F336C" w:rsidP="00617F69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zakłóceń organizacji pracy spowodowanych nieprawidłowym działaniem systemów</w:t>
      </w:r>
      <w:r w:rsidR="0011461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31DECB44" w14:textId="77777777" w:rsidR="00640423" w:rsidRPr="003F7732" w:rsidRDefault="006F336C" w:rsidP="00640423">
      <w:pPr>
        <w:suppressAutoHyphens/>
        <w:jc w:val="center"/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 xml:space="preserve">OKREŚLENIE ŚRODKÓW TECHNICZNYCH I ORGANIZACYJNYCH </w:t>
      </w:r>
    </w:p>
    <w:p w14:paraId="79BF4004" w14:textId="682A17C5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NIEZBĘDNYCH DO ZAPEWNIENIA POUFNOŚCI PRZETWARZANIA DANYCH</w:t>
      </w:r>
    </w:p>
    <w:p w14:paraId="79BF4005" w14:textId="77777777" w:rsidR="00994554" w:rsidRPr="00B5160C" w:rsidRDefault="006F336C" w:rsidP="00B5160C">
      <w:pPr>
        <w:suppressAutoHyphens/>
        <w:spacing w:line="360" w:lineRule="auto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W Podmiocie rozróżnia się następujące kategorie środków zabezpieczeń danych osobowych : </w:t>
      </w:r>
    </w:p>
    <w:p w14:paraId="79BF4006" w14:textId="6502D008" w:rsidR="00994554" w:rsidRPr="003F7732" w:rsidRDefault="006F336C" w:rsidP="009322E9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Zabezpieczenia fizyczne</w:t>
      </w:r>
      <w:r w:rsidR="004D6C3C" w:rsidRPr="003F773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07" w14:textId="14159692" w:rsidR="00994554" w:rsidRPr="00CF1122" w:rsidRDefault="00325B19" w:rsidP="00A9721E">
      <w:pPr>
        <w:numPr>
          <w:ilvl w:val="0"/>
          <w:numId w:val="6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</w:t>
      </w:r>
      <w:r w:rsidR="006F336C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omieszczenia zamykane na klucz</w:t>
      </w:r>
      <w:r w:rsidR="00B3067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08" w14:textId="39644C17" w:rsidR="00994554" w:rsidRPr="00CF1122" w:rsidRDefault="00325B19" w:rsidP="00A9721E">
      <w:pPr>
        <w:numPr>
          <w:ilvl w:val="0"/>
          <w:numId w:val="6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M</w:t>
      </w:r>
      <w:r w:rsidR="006F336C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onitoring</w:t>
      </w:r>
      <w:r w:rsidR="00B3067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09" w14:textId="27E7BD15" w:rsidR="00994554" w:rsidRPr="00CF1122" w:rsidRDefault="00325B19" w:rsidP="00A9721E">
      <w:pPr>
        <w:numPr>
          <w:ilvl w:val="0"/>
          <w:numId w:val="6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</w:t>
      </w:r>
      <w:r w:rsidR="006F336C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zafy metalowe zamykane na klucz</w:t>
      </w:r>
      <w:r w:rsidR="00B3067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0A" w14:textId="3DD79A2E" w:rsidR="00994554" w:rsidRPr="00CF1122" w:rsidRDefault="00325B19" w:rsidP="00A9721E">
      <w:pPr>
        <w:numPr>
          <w:ilvl w:val="0"/>
          <w:numId w:val="6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</w:t>
      </w:r>
      <w:r w:rsidR="006F336C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zafki zamykane na klucz</w:t>
      </w:r>
      <w:r w:rsidR="00B3067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0B" w14:textId="00E36CA1" w:rsidR="00994554" w:rsidRPr="00CF1122" w:rsidRDefault="00325B19" w:rsidP="00A9721E">
      <w:pPr>
        <w:numPr>
          <w:ilvl w:val="0"/>
          <w:numId w:val="6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</w:t>
      </w:r>
      <w:r w:rsidR="006F336C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larm</w:t>
      </w:r>
      <w:r w:rsidR="00B3067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0C" w14:textId="108D3EA5" w:rsidR="00994554" w:rsidRPr="00CF1122" w:rsidRDefault="00325B19" w:rsidP="00A9721E">
      <w:pPr>
        <w:numPr>
          <w:ilvl w:val="0"/>
          <w:numId w:val="6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</w:t>
      </w:r>
      <w:r w:rsidR="006F336C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abezpieczenia procesów przetwarzania danych w dokumentacji papierowej : </w:t>
      </w:r>
    </w:p>
    <w:p w14:paraId="79BF400D" w14:textId="00D7D27A" w:rsidR="00994554" w:rsidRPr="002A02E3" w:rsidRDefault="00B30670" w:rsidP="009322E9">
      <w:pPr>
        <w:pStyle w:val="Akapitzlist"/>
        <w:numPr>
          <w:ilvl w:val="0"/>
          <w:numId w:val="23"/>
        </w:numPr>
        <w:suppressAutoHyphens/>
        <w:spacing w:line="360" w:lineRule="auto"/>
        <w:ind w:left="1276" w:hanging="357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rzetwarzanie danych osobowych następuje w wyznaczonych pomieszczeniach, </w:t>
      </w:r>
    </w:p>
    <w:p w14:paraId="79BF400E" w14:textId="398EB2EB" w:rsidR="00994554" w:rsidRPr="002A02E3" w:rsidRDefault="00B30670" w:rsidP="009322E9">
      <w:pPr>
        <w:pStyle w:val="Akapitzlist"/>
        <w:numPr>
          <w:ilvl w:val="0"/>
          <w:numId w:val="23"/>
        </w:numPr>
        <w:suppressAutoHyphens/>
        <w:spacing w:line="360" w:lineRule="auto"/>
        <w:ind w:left="1276" w:hanging="357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rzetwarzanie danych osobowych następuje przez wyznaczone do tego celu osoby. </w:t>
      </w:r>
    </w:p>
    <w:p w14:paraId="79BF400F" w14:textId="1C7167C7" w:rsidR="00994554" w:rsidRPr="003F7732" w:rsidRDefault="006F336C" w:rsidP="009322E9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Zabezpieczenia organizacyjne</w:t>
      </w:r>
      <w:r w:rsidR="004D6C3C" w:rsidRPr="003F773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10" w14:textId="1D598199" w:rsidR="00994554" w:rsidRPr="00CF1122" w:rsidRDefault="006F336C" w:rsidP="00A9721E">
      <w:pPr>
        <w:numPr>
          <w:ilvl w:val="0"/>
          <w:numId w:val="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Osobą odpowiedzialną za bezpieczeństwo danych jest ADO</w:t>
      </w:r>
      <w:r w:rsidR="0020665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11" w14:textId="17516561" w:rsidR="00994554" w:rsidRPr="00CF1122" w:rsidRDefault="006F336C" w:rsidP="00A9721E">
      <w:pPr>
        <w:numPr>
          <w:ilvl w:val="0"/>
          <w:numId w:val="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ADO na bieżąco kontroluje prace systemu informatycznego z należytą starannością zgodnie 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z</w:t>
      </w:r>
      <w:r w:rsidR="00394D8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 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aktualnie obowiązującą w tym zakresie wiedzą i obowiązującymi procedurami</w:t>
      </w:r>
      <w:r w:rsidR="0020665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12" w14:textId="43C03991" w:rsidR="00994554" w:rsidRPr="00CF1122" w:rsidRDefault="006F336C" w:rsidP="00A9721E">
      <w:pPr>
        <w:numPr>
          <w:ilvl w:val="0"/>
          <w:numId w:val="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Organizacja pracy przy przetwarzaniu danych osobowych i zasady przetwarzania</w:t>
      </w:r>
      <w:r w:rsid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:</w:t>
      </w:r>
    </w:p>
    <w:p w14:paraId="79BF4013" w14:textId="6E3919EC" w:rsidR="00994554" w:rsidRPr="002A02E3" w:rsidRDefault="00206655" w:rsidP="009322E9">
      <w:pPr>
        <w:pStyle w:val="Akapitzlist"/>
        <w:numPr>
          <w:ilvl w:val="0"/>
          <w:numId w:val="22"/>
        </w:numPr>
        <w:suppressAutoHyphens/>
        <w:spacing w:line="360" w:lineRule="auto"/>
        <w:ind w:left="127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ykaz pracowników jednostki uprawnionych do przetwarzania </w:t>
      </w:r>
      <w:r w:rsidR="0096140A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danych osobowych znajduje się w </w:t>
      </w:r>
      <w:r w:rsidR="0013746A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sekretariacie szkoły</w:t>
      </w:r>
      <w:r w:rsidR="007D28F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14" w14:textId="1FA455B8" w:rsidR="00994554" w:rsidRPr="002A02E3" w:rsidRDefault="00206655" w:rsidP="009322E9">
      <w:pPr>
        <w:pStyle w:val="Akapitzlist"/>
        <w:numPr>
          <w:ilvl w:val="0"/>
          <w:numId w:val="22"/>
        </w:numPr>
        <w:suppressAutoHyphens/>
        <w:spacing w:line="360" w:lineRule="auto"/>
        <w:ind w:left="127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rzetwarzać dane osobowe mogą jedynie osoby posiadające stosowne upoważnienia ADO</w:t>
      </w:r>
      <w:r w:rsidR="007D28F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15" w14:textId="7E79255E" w:rsidR="00994554" w:rsidRPr="002A02E3" w:rsidRDefault="002A02E3" w:rsidP="009322E9">
      <w:pPr>
        <w:pStyle w:val="Akapitzlist"/>
        <w:numPr>
          <w:ilvl w:val="0"/>
          <w:numId w:val="22"/>
        </w:numPr>
        <w:suppressAutoHyphens/>
        <w:spacing w:line="360" w:lineRule="auto"/>
        <w:ind w:left="127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trakcie przetwarzania danych osobowych pracownik j</w:t>
      </w:r>
      <w:r w:rsidR="0096140A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est osobiście odpowiedzialny za 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bezpieczeństwo powierzonych mu danych</w:t>
      </w:r>
      <w:r w:rsidR="007D28F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16" w14:textId="089B89D4" w:rsidR="00994554" w:rsidRPr="002A02E3" w:rsidRDefault="002A02E3" w:rsidP="009322E9">
      <w:pPr>
        <w:pStyle w:val="Akapitzlist"/>
        <w:numPr>
          <w:ilvl w:val="0"/>
          <w:numId w:val="22"/>
        </w:numPr>
        <w:suppressAutoHyphens/>
        <w:spacing w:line="360" w:lineRule="auto"/>
        <w:ind w:left="127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trakcie przetwarzania danych osobowych upoważniony pracownik Podmiotu winien dbać o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 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należyte ich zabezpieczenie w tym w szczególności zabezpieczyć je przed możliwością wglądu bądź zmiany przez osoby do tego nieupoważnione</w:t>
      </w:r>
      <w:r w:rsidR="007D28F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17" w14:textId="160B4016" w:rsidR="00994554" w:rsidRPr="002A02E3" w:rsidRDefault="002A02E3" w:rsidP="009322E9">
      <w:pPr>
        <w:pStyle w:val="Akapitzlist"/>
        <w:numPr>
          <w:ilvl w:val="0"/>
          <w:numId w:val="22"/>
        </w:numPr>
        <w:suppressAutoHyphens/>
        <w:spacing w:line="360" w:lineRule="auto"/>
        <w:ind w:left="127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</w:t>
      </w:r>
      <w:r w:rsidR="006F336C" w:rsidRPr="002A02E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 zakończeniu przetwarzania danych osobowych pracownik winien należycie zabezpieczyć przetwarzane przez niego dane w szczególności przed możliwością dostępu do nich osób nieupoważnionych.</w:t>
      </w:r>
    </w:p>
    <w:p w14:paraId="08A02168" w14:textId="77777777" w:rsidR="00101A54" w:rsidRPr="003F7732" w:rsidRDefault="006F336C" w:rsidP="00101A54">
      <w:pPr>
        <w:suppressAutoHyphens/>
        <w:jc w:val="center"/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Wykaz budynków, pomieszczeń lub części pomieszczeń tworzących obszar,</w:t>
      </w:r>
    </w:p>
    <w:p w14:paraId="79BF4019" w14:textId="752F54F9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w którym przetwarzane są dane osobowe</w:t>
      </w:r>
    </w:p>
    <w:tbl>
      <w:tblPr>
        <w:tblW w:w="103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02"/>
        <w:gridCol w:w="5677"/>
      </w:tblGrid>
      <w:tr w:rsidR="00994554" w:rsidRPr="00CF1122" w14:paraId="79BF401D" w14:textId="77777777" w:rsidTr="0013746A">
        <w:trPr>
          <w:trHeight w:val="1"/>
          <w:jc w:val="center"/>
        </w:trPr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14:paraId="79BF401A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C0C0C0"/>
              </w:rPr>
              <w:t>Obiekt</w:t>
            </w:r>
            <w:r w:rsidR="00F45EAE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C0C0C0"/>
              </w:rPr>
              <w:t>y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14:paraId="79BF401B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highlight w:val="lightGray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C0C0C0"/>
              </w:rPr>
              <w:t>Pomieszczenia, w których</w:t>
            </w:r>
          </w:p>
          <w:p w14:paraId="79BF401C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C0C0C0"/>
              </w:rPr>
              <w:t>przetwarzane są dane</w:t>
            </w:r>
          </w:p>
        </w:tc>
      </w:tr>
      <w:tr w:rsidR="00994554" w:rsidRPr="00CF1122" w14:paraId="79BF4037" w14:textId="77777777" w:rsidTr="0013746A">
        <w:trPr>
          <w:trHeight w:val="1"/>
          <w:jc w:val="center"/>
        </w:trPr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</w:tcMar>
          </w:tcPr>
          <w:p w14:paraId="79BF401E" w14:textId="3364ED80" w:rsidR="00994554" w:rsidRPr="00CF1122" w:rsidRDefault="006F336C" w:rsidP="007D28F8">
            <w:pPr>
              <w:suppressAutoHyphens/>
              <w:jc w:val="center"/>
              <w:rPr>
                <w:rFonts w:asciiTheme="minorHAnsi" w:eastAsia="Verdana" w:hAnsiTheme="minorHAnsi" w:cs="Verdana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 xml:space="preserve">Technikum Leśne w Warcinie </w:t>
            </w:r>
            <w:r w:rsidR="00101A54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br/>
            </w: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im. profesora Stanisława Sokołowskiego</w:t>
            </w:r>
          </w:p>
          <w:p w14:paraId="79BF401F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 xml:space="preserve">Warcino 1, </w:t>
            </w:r>
          </w:p>
          <w:p w14:paraId="79BF4020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77-230 Kępice,</w:t>
            </w:r>
          </w:p>
          <w:p w14:paraId="79BF4021" w14:textId="77777777" w:rsidR="00994554" w:rsidRPr="00CF1122" w:rsidRDefault="00994554" w:rsidP="007D28F8">
            <w:pPr>
              <w:suppressAutoHyphens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</w:pPr>
          </w:p>
          <w:p w14:paraId="79BF4022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 xml:space="preserve">Warcino 1a, </w:t>
            </w:r>
          </w:p>
          <w:p w14:paraId="79BF4023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1122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77-230 Kępice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</w:tcMar>
          </w:tcPr>
          <w:p w14:paraId="79BF4025" w14:textId="421A2935" w:rsidR="00994554" w:rsidRPr="00CF1122" w:rsidRDefault="006F336C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Gabinet Dyrektora,</w:t>
            </w:r>
            <w:r w:rsidR="00394D88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Gabinet Wicedyrektora,</w:t>
            </w:r>
          </w:p>
          <w:p w14:paraId="79BF4026" w14:textId="573282CA" w:rsidR="00994554" w:rsidRPr="00CF1122" w:rsidRDefault="007D28F8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Pomieszczenia s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ekretariat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u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,</w:t>
            </w:r>
          </w:p>
          <w:p w14:paraId="56E95F26" w14:textId="4300C676" w:rsidR="007D28F8" w:rsidRPr="00CF1122" w:rsidRDefault="0013746A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głównego księgowego,</w:t>
            </w:r>
            <w:r w:rsidR="00394D88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7D28F8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księgowości,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BF4028" w14:textId="49C2D699" w:rsidR="00994554" w:rsidRPr="00CF1122" w:rsidRDefault="007D28F8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Pomieszczenie kasy,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Kierownika gospodarczego,</w:t>
            </w:r>
          </w:p>
          <w:p w14:paraId="79BF402A" w14:textId="74477446" w:rsidR="00994554" w:rsidRPr="00CF1122" w:rsidRDefault="007D28F8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nauczycielski,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13746A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Sale i p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racownie lekcyjne,</w:t>
            </w:r>
          </w:p>
          <w:p w14:paraId="5BBEDB27" w14:textId="4AC4C204" w:rsidR="00D024A0" w:rsidRPr="00CF1122" w:rsidRDefault="00D024A0" w:rsidP="00D024A0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pedagoga szkolnego,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Pomieszczenie b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ibliotek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i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szkoln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ej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,</w:t>
            </w:r>
          </w:p>
          <w:p w14:paraId="563599E9" w14:textId="77777777" w:rsidR="000605B8" w:rsidRPr="00CF1122" w:rsidRDefault="000605B8" w:rsidP="000605B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nauczycieli praktycznej nauki zawodu,</w:t>
            </w:r>
          </w:p>
          <w:p w14:paraId="79BF402D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kierownika internatu,</w:t>
            </w:r>
          </w:p>
          <w:p w14:paraId="099A91E3" w14:textId="77777777" w:rsidR="007D28F8" w:rsidRPr="00CF1122" w:rsidRDefault="007D28F8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Pokoje wychowawców w internacie,</w:t>
            </w:r>
          </w:p>
          <w:p w14:paraId="79BF402E" w14:textId="77777777" w:rsidR="00994554" w:rsidRPr="00CF1122" w:rsidRDefault="006F336C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nauczycieli wychowania fizycznego,</w:t>
            </w:r>
          </w:p>
          <w:p w14:paraId="79BF4030" w14:textId="26F6027E" w:rsidR="00994554" w:rsidRPr="00CF1122" w:rsidRDefault="00D024A0" w:rsidP="007D28F8">
            <w:pPr>
              <w:suppressAutoHyphens/>
              <w:jc w:val="center"/>
              <w:rPr>
                <w:rFonts w:asciiTheme="minorHAnsi" w:eastAsia="Liberation Serif" w:hAnsiTheme="minorHAnsi" w:cs="Liberation Serif"/>
                <w:sz w:val="22"/>
                <w:szCs w:val="22"/>
                <w:highlight w:val="white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Sala gimnastyczna,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Gabinet pielęgniarki</w:t>
            </w:r>
            <w:r w:rsidR="0013746A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szkolnej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,</w:t>
            </w:r>
          </w:p>
          <w:p w14:paraId="79BF4036" w14:textId="28E890C6" w:rsidR="00994554" w:rsidRPr="00CF1122" w:rsidRDefault="0013746A" w:rsidP="0047765B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Pokój specjalisty (s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tołówka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)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,</w:t>
            </w:r>
            <w:r w:rsidR="0047765B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Pomieszczenie a</w:t>
            </w:r>
            <w:r w:rsidR="006F336C" w:rsidRPr="00CF1122">
              <w:rPr>
                <w:rFonts w:asciiTheme="minorHAnsi" w:eastAsia="Liberation Serif" w:hAnsiTheme="minorHAnsi" w:cs="Liberation Serif"/>
                <w:sz w:val="22"/>
                <w:szCs w:val="22"/>
                <w:shd w:val="clear" w:color="auto" w:fill="FFFFFF"/>
              </w:rPr>
              <w:t>rchiwum.</w:t>
            </w:r>
          </w:p>
        </w:tc>
      </w:tr>
    </w:tbl>
    <w:p w14:paraId="30177479" w14:textId="77777777" w:rsidR="003F7732" w:rsidRDefault="003F7732">
      <w:pPr>
        <w:widowControl/>
        <w:rPr>
          <w:rFonts w:asciiTheme="minorHAnsi" w:eastAsia="Times New Roman" w:hAnsiTheme="minorHAnsi" w:cs="Times New Roman"/>
          <w:caps/>
          <w:sz w:val="22"/>
          <w:szCs w:val="22"/>
          <w:shd w:val="clear" w:color="auto" w:fill="FFFFFF"/>
        </w:rPr>
      </w:pPr>
    </w:p>
    <w:p w14:paraId="00C2BB87" w14:textId="4EF1FADF" w:rsidR="00587B9D" w:rsidRPr="003F7732" w:rsidRDefault="006F336C" w:rsidP="00587B9D">
      <w:pPr>
        <w:suppressAutoHyphens/>
        <w:jc w:val="center"/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Informacje o okresowych analizach ryzyka utraty integralności,</w:t>
      </w:r>
    </w:p>
    <w:p w14:paraId="79BF4039" w14:textId="49A0C82A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Verdana" w:hAnsiTheme="minorHAnsi" w:cs="Verdana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dostępności lub poufności informacji</w:t>
      </w:r>
    </w:p>
    <w:p w14:paraId="79BF403A" w14:textId="77777777" w:rsidR="00994554" w:rsidRPr="00B5160C" w:rsidRDefault="006F336C" w:rsidP="009322E9">
      <w:pPr>
        <w:pStyle w:val="Akapitzlist"/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Utrzymanie bezpieczeństwa przetwarzanych przez Podmiot informacji rozumiane jest jako zapewnienie ich poufności, integralności i dostępności na odpowiednim poziomie. Miarą bezpieczeństwa jest wielkość ryzyka związanego z zasobem stanowiącym przedmiot Polityki.</w:t>
      </w:r>
    </w:p>
    <w:p w14:paraId="79BF403B" w14:textId="77777777" w:rsidR="00994554" w:rsidRPr="00B5160C" w:rsidRDefault="006F336C" w:rsidP="009322E9">
      <w:pPr>
        <w:pStyle w:val="Akapitzlist"/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Zarządzanie ryzykiem – rozumiane jest jako proces identyfikowania, kontrolowania i minimalizowania lub eliminowania ryzyka dotyczącego bezpieczeństwa, które może dotyczyć systemów informacyjnych.</w:t>
      </w:r>
    </w:p>
    <w:p w14:paraId="79BF403C" w14:textId="77777777" w:rsidR="00994554" w:rsidRPr="00B5160C" w:rsidRDefault="006F336C" w:rsidP="009322E9">
      <w:pPr>
        <w:pStyle w:val="Akapitzlist"/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Analizę ryzyka utraty integralności, dostępności lub poufności informacji przeprowadza się stand</w:t>
      </w:r>
      <w:r w:rsidR="0096140A"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ardowo raz w </w:t>
      </w: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roku oraz zawsze w przypadku wystąpienia jednej z poniższych sytuacji:</w:t>
      </w:r>
    </w:p>
    <w:p w14:paraId="79BF403D" w14:textId="77777777" w:rsidR="00994554" w:rsidRPr="00CF1122" w:rsidRDefault="006F336C" w:rsidP="00A9721E">
      <w:pPr>
        <w:numPr>
          <w:ilvl w:val="0"/>
          <w:numId w:val="8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potwierdzenia wystąpienia incydentu bezpieczeństwa informacji – po zakończeniu czynności związanych z jego usunięciem,</w:t>
      </w:r>
    </w:p>
    <w:p w14:paraId="79BF403E" w14:textId="77777777" w:rsidR="00994554" w:rsidRPr="00CF1122" w:rsidRDefault="006F336C" w:rsidP="00A9721E">
      <w:pPr>
        <w:numPr>
          <w:ilvl w:val="0"/>
          <w:numId w:val="8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wprowadzenia zmian w systemie informatycznym związanym z bezpieczeństwem informacji.</w:t>
      </w:r>
    </w:p>
    <w:p w14:paraId="79BF403F" w14:textId="6AD80294" w:rsidR="00994554" w:rsidRPr="00B5160C" w:rsidRDefault="006F336C" w:rsidP="009322E9">
      <w:pPr>
        <w:pStyle w:val="Akapitzlist"/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Ww. analizę przeprowadza </w:t>
      </w:r>
      <w:r w:rsidR="00625CD6"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IOD</w:t>
      </w: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przy współpracy z wyznaczonymi przez ADO i/lub </w:t>
      </w:r>
      <w:r w:rsidR="00625CD6"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IOD</w:t>
      </w: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pracownikami Podmiotu. Analizę ryzyka przeprowadza się zgodnie z obowiązującymi w Podmiocie zasadami zarządzania ryzykiem.</w:t>
      </w:r>
      <w:r w:rsidR="0096140A"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Administrator Danych Osobowych zapewnia także odpowiedni </w:t>
      </w:r>
      <w:r w:rsidR="0096140A"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poziom bezpieczeństwa danych, w </w:t>
      </w: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szczególności przeprowadza cyklicznie analizy ryzyka przetwarzania danych osobowych oraz oceny skutków ochrony danych osobowych. W tym celu kategoryzuje dane i czynności przetwarzania pod kątem szacowania ryzyka ich przetwarzania a także analizuje możliwe uchybienia i zagrożenia wynikające z</w:t>
      </w:r>
      <w:r w:rsid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 </w:t>
      </w:r>
      <w:r w:rsidRPr="00B5160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przetwarzania danych uwzględniając zakres, cel i charakter ryzyka występowania w Podmiocie. Dodatkowo zarządza ryzykiem oraz zgłasza zidentyfikowane naruszenia danych osobowych do Urzędu Ochrony  Danych Osobowych.       </w:t>
      </w:r>
    </w:p>
    <w:p w14:paraId="79BF4041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ZAKRES BEZPIECZEŃSTWA INFORMACJI</w:t>
      </w:r>
    </w:p>
    <w:p w14:paraId="79BF4042" w14:textId="741A82F4" w:rsidR="00994554" w:rsidRPr="00EE3490" w:rsidRDefault="006F336C" w:rsidP="00EE3490">
      <w:pPr>
        <w:pStyle w:val="Akapitzlist"/>
        <w:numPr>
          <w:ilvl w:val="1"/>
          <w:numId w:val="8"/>
        </w:numPr>
        <w:tabs>
          <w:tab w:val="clear" w:pos="1080"/>
        </w:tabs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EE349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W systemie informacyjnym Podmiotu przetwarzane są informacje służące do wykonywania zadań niezbędnych dla zrealizowania uprawnienia lub spełnienia obowiązku wynikającego z przepisów prawa. </w:t>
      </w:r>
    </w:p>
    <w:p w14:paraId="79BF4043" w14:textId="24A399F0" w:rsidR="00994554" w:rsidRPr="00EE3490" w:rsidRDefault="006F336C" w:rsidP="00EE3490">
      <w:pPr>
        <w:pStyle w:val="Akapitzlist"/>
        <w:numPr>
          <w:ilvl w:val="1"/>
          <w:numId w:val="8"/>
        </w:numPr>
        <w:tabs>
          <w:tab w:val="clear" w:pos="1080"/>
        </w:tabs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EE349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Informacje te są przetwarzane i składowane zarówno w postaci papierowej jak i elektronicznej. </w:t>
      </w:r>
    </w:p>
    <w:p w14:paraId="79BF4044" w14:textId="70B0A5AB" w:rsidR="00994554" w:rsidRPr="00EE3490" w:rsidRDefault="006F336C" w:rsidP="00EE3490">
      <w:pPr>
        <w:pStyle w:val="Akapitzlist"/>
        <w:numPr>
          <w:ilvl w:val="1"/>
          <w:numId w:val="8"/>
        </w:numPr>
        <w:tabs>
          <w:tab w:val="clear" w:pos="1080"/>
        </w:tabs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EE3490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Zakresy określone przez dokumenty Polityki mają zastosowanie do całego systemu informacyjnego Podmiotu, w szczególności do :</w:t>
      </w:r>
    </w:p>
    <w:p w14:paraId="79BF4045" w14:textId="58069880" w:rsidR="00994554" w:rsidRPr="00CF1122" w:rsidRDefault="006F336C" w:rsidP="00A9721E">
      <w:pPr>
        <w:numPr>
          <w:ilvl w:val="0"/>
          <w:numId w:val="9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wszystkich istniejących systemów informatycznych oraz papierowych, w których przetwarzane są informacje podlegające ochronie</w:t>
      </w:r>
      <w:r w:rsidR="00AC170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46" w14:textId="10153B52" w:rsidR="00994554" w:rsidRPr="00CF1122" w:rsidRDefault="006F336C" w:rsidP="00A9721E">
      <w:pPr>
        <w:numPr>
          <w:ilvl w:val="0"/>
          <w:numId w:val="9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wszystkich lokalizacji – budynków i pomieszczeń w których są lub będą przetwarzane informacje podlegające ochronie</w:t>
      </w:r>
      <w:r w:rsidR="00AC170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47" w14:textId="199183F2" w:rsidR="00994554" w:rsidRPr="00CF1122" w:rsidRDefault="006F336C" w:rsidP="00A9721E">
      <w:pPr>
        <w:numPr>
          <w:ilvl w:val="0"/>
          <w:numId w:val="9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wszystkich pracowników i innych upoważnionych osób mających dostęp do informacji podlegających ochronie</w:t>
      </w:r>
      <w:r w:rsidR="00AC170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49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STRUKTURA DOKUMENTÓW</w:t>
      </w:r>
    </w:p>
    <w:p w14:paraId="79BF404A" w14:textId="77777777" w:rsidR="00994554" w:rsidRPr="00DF7B8A" w:rsidRDefault="006F336C" w:rsidP="009322E9">
      <w:pPr>
        <w:pStyle w:val="Akapitzlist"/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Dokumenty Polityki ustanawiają metody zarządzania oraz wymagania niezbę</w:t>
      </w:r>
      <w:r w:rsidR="0096140A"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dne do zapewnienia skutecznej i </w:t>
      </w: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spójnej ochrony przetwarzanych informacji</w:t>
      </w:r>
    </w:p>
    <w:p w14:paraId="79BF404B" w14:textId="77777777" w:rsidR="00994554" w:rsidRPr="00DF7B8A" w:rsidRDefault="006F336C" w:rsidP="009322E9">
      <w:pPr>
        <w:pStyle w:val="Akapitzlist"/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Oprócz Polityki w zakresie ochrony danych osobowych w Podmiocie opracowano : </w:t>
      </w:r>
    </w:p>
    <w:p w14:paraId="79BF404C" w14:textId="70D87913" w:rsidR="00994554" w:rsidRPr="00CF1122" w:rsidRDefault="006F336C" w:rsidP="00A9721E">
      <w:pPr>
        <w:numPr>
          <w:ilvl w:val="0"/>
          <w:numId w:val="10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Instrukcję zarządzania systemami informatycznymi w zakresie wymogów bezpieczeństwa przetwarzania danych osobowych, opisujących sposób zarządzania systemami przetwarzania danych 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osobowych</w:t>
      </w:r>
      <w:r w:rsidR="00AC170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4D" w14:textId="4E0AC0CF" w:rsidR="00994554" w:rsidRPr="00CF1122" w:rsidRDefault="006F336C" w:rsidP="00A9721E">
      <w:pPr>
        <w:numPr>
          <w:ilvl w:val="0"/>
          <w:numId w:val="10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Instrukcję postępowania w sytuacji naruszenia danych osobowych</w:t>
      </w:r>
      <w:r w:rsid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opisującej tryb postępowania w 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sytuacji naruszenia zabezpieczenia zasobów danych osobowych, zaobserwowanych prób naruszenia tego zabezpieczenia a także uzasadnionego podejrzenia o przygotowanej próbie naruszenia.</w:t>
      </w:r>
    </w:p>
    <w:p w14:paraId="79BF404E" w14:textId="77777777" w:rsidR="00994554" w:rsidRPr="00DF7B8A" w:rsidRDefault="006F336C" w:rsidP="009322E9">
      <w:pPr>
        <w:pStyle w:val="Akapitzlist"/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Ponadto w Podmiocie przeprowadzono :</w:t>
      </w:r>
    </w:p>
    <w:p w14:paraId="79BF404F" w14:textId="77777777" w:rsidR="00994554" w:rsidRPr="00CF1122" w:rsidRDefault="006F336C" w:rsidP="00A9721E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ind w:left="851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Analizę konieczności wyznaczenia inspektora ochrony danych osobowych (inspektora </w:t>
      </w:r>
      <w:r w:rsidR="00625CD6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IOD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)</w:t>
      </w:r>
    </w:p>
    <w:p w14:paraId="79BF4050" w14:textId="30180896" w:rsidR="00994554" w:rsidRPr="00937564" w:rsidRDefault="006F336C" w:rsidP="00A9721E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ind w:left="851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Analiza podmiotu w zakresie posiadanych i przetwarzanych danych osobowych w obszarach :</w:t>
      </w:r>
    </w:p>
    <w:p w14:paraId="79BF4051" w14:textId="1FC63A1C" w:rsidR="00994554" w:rsidRPr="00CF1122" w:rsidRDefault="006F336C" w:rsidP="00937564">
      <w:pPr>
        <w:numPr>
          <w:ilvl w:val="0"/>
          <w:numId w:val="41"/>
        </w:numPr>
        <w:suppressAutoHyphens/>
        <w:spacing w:line="360" w:lineRule="auto"/>
        <w:ind w:left="1134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aspekty organizacyjne</w:t>
      </w:r>
      <w:r w:rsidR="00244EC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52" w14:textId="12AFF973" w:rsidR="00994554" w:rsidRPr="00CF1122" w:rsidRDefault="006F336C" w:rsidP="00937564">
      <w:pPr>
        <w:numPr>
          <w:ilvl w:val="0"/>
          <w:numId w:val="41"/>
        </w:numPr>
        <w:suppressAutoHyphens/>
        <w:spacing w:line="360" w:lineRule="auto"/>
        <w:ind w:left="1134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aspekty przetwarzania danych przez osobę trzecią</w:t>
      </w:r>
      <w:r w:rsidR="00244EC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53" w14:textId="040169E0" w:rsidR="00994554" w:rsidRPr="00CF1122" w:rsidRDefault="006F336C" w:rsidP="00937564">
      <w:pPr>
        <w:numPr>
          <w:ilvl w:val="0"/>
          <w:numId w:val="41"/>
        </w:numPr>
        <w:suppressAutoHyphens/>
        <w:spacing w:line="360" w:lineRule="auto"/>
        <w:ind w:left="1134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aspekty organizacyjne – zakres ochrony danych osobowych</w:t>
      </w:r>
      <w:r w:rsidR="00244EC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54" w14:textId="25757814" w:rsidR="00994554" w:rsidRPr="00CF1122" w:rsidRDefault="006F336C" w:rsidP="00937564">
      <w:pPr>
        <w:numPr>
          <w:ilvl w:val="0"/>
          <w:numId w:val="41"/>
        </w:numPr>
        <w:suppressAutoHyphens/>
        <w:spacing w:line="360" w:lineRule="auto"/>
        <w:ind w:left="1134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aspekty prawno-organizacyjne </w:t>
      </w:r>
      <w:r w:rsidR="00244EC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–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zgody</w:t>
      </w:r>
      <w:r w:rsidR="00244EC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55" w14:textId="268C6771" w:rsidR="00994554" w:rsidRPr="00CF1122" w:rsidRDefault="006F336C" w:rsidP="00937564">
      <w:pPr>
        <w:numPr>
          <w:ilvl w:val="0"/>
          <w:numId w:val="41"/>
        </w:numPr>
        <w:suppressAutoHyphens/>
        <w:spacing w:line="360" w:lineRule="auto"/>
        <w:ind w:left="1134"/>
        <w:rPr>
          <w:rFonts w:asciiTheme="minorHAnsi" w:eastAsia="Calibri" w:hAnsiTheme="minorHAnsi" w:cs="Calibri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aspekty techniczno-informatyczne</w:t>
      </w:r>
      <w:r w:rsidR="00244EC5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57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DOSTĘP DO INFORMACJI</w:t>
      </w:r>
    </w:p>
    <w:p w14:paraId="79BF4058" w14:textId="77777777" w:rsidR="00994554" w:rsidRPr="00DF7B8A" w:rsidRDefault="006F336C" w:rsidP="009322E9">
      <w:pPr>
        <w:pStyle w:val="Akapitzlist"/>
        <w:numPr>
          <w:ilvl w:val="0"/>
          <w:numId w:val="30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Wszystkie osoby, których rodzaj wykonywanej pracy będzie wiązał się z dostępem do danych osobowych, przed przystąpieniem do pracy, podlegają przeszkoleniu w zakresie obowiązujących przepisów prawa dotyczących ochrony danych osobowych oraz obowiązujących w Podmiocie zasad ochrony danych osobowych.</w:t>
      </w:r>
    </w:p>
    <w:p w14:paraId="79BF4059" w14:textId="77777777" w:rsidR="00994554" w:rsidRPr="00DF7B8A" w:rsidRDefault="006F336C" w:rsidP="009322E9">
      <w:pPr>
        <w:pStyle w:val="Akapitzlist"/>
        <w:numPr>
          <w:ilvl w:val="0"/>
          <w:numId w:val="30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Zakres czynności osoby dopuszczonej do przetwarzania danych osobowych powinien określać zakres odpowiedzialności tej osoby za ochronę danych osobowych w stopniu odpowiednim do zadań tej osoby realizowanych przy przetwarzaniu tych danych. </w:t>
      </w:r>
    </w:p>
    <w:p w14:paraId="79BF405A" w14:textId="77777777" w:rsidR="00994554" w:rsidRPr="00DF7B8A" w:rsidRDefault="006F336C" w:rsidP="009322E9">
      <w:pPr>
        <w:pStyle w:val="Akapitzlist"/>
        <w:numPr>
          <w:ilvl w:val="0"/>
          <w:numId w:val="30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Pomieszczenia w których są przechowywane dane osobowe, powinny być </w:t>
      </w:r>
      <w:r w:rsidR="0096140A"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zamykane na czas nieobecności w </w:t>
      </w:r>
      <w:r w:rsidRPr="00DF7B8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nim osób zatrudnionych przy przetwarzaniu danych, w sposób uniemożliwiający dostęp do nich osób trzecich. </w:t>
      </w:r>
    </w:p>
    <w:p w14:paraId="79BF405D" w14:textId="02E587B2" w:rsidR="00994554" w:rsidRPr="003F7732" w:rsidRDefault="006F336C" w:rsidP="00CB0175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KOMPETENCJE I ODPOWIEDZIALNOŚĆ W ZARZĄDZANIU</w:t>
      </w:r>
      <w:r w:rsidR="00CB0175"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 xml:space="preserve"> </w:t>
      </w: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BEZPIECZEŃSTWEM DANYCH OSOBOWYCH</w:t>
      </w:r>
    </w:p>
    <w:p w14:paraId="79BF405E" w14:textId="76B7A6EF" w:rsidR="00994554" w:rsidRPr="007B18D1" w:rsidRDefault="006F336C" w:rsidP="007B18D1">
      <w:pPr>
        <w:pStyle w:val="Akapitzlist"/>
        <w:numPr>
          <w:ilvl w:val="0"/>
          <w:numId w:val="40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 przetwarzanie danych osobowych niezgodnie z prawem, celami przetwa</w:t>
      </w:r>
      <w:r w:rsidR="0096140A" w:rsidRP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rzania lub przechowywanie ich w </w:t>
      </w:r>
      <w:r w:rsidRP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sposób niezapewniający ochrony interesów osób, których te dane dotyczą</w:t>
      </w:r>
      <w:r w:rsidR="00F33F0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grozi odpowiedzialność karna</w:t>
      </w:r>
      <w:r w:rsidR="00F33F0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wynikająca z przepisów lub pracownicza</w:t>
      </w:r>
      <w:r w:rsidR="00F33F0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Pr="007B18D1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na zasadach określonych w kodeksie pracy.</w:t>
      </w:r>
    </w:p>
    <w:p w14:paraId="79BF4060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ZARZĄDZANIE DANYMI OSOBOWYMI</w:t>
      </w:r>
    </w:p>
    <w:p w14:paraId="79BF4061" w14:textId="77777777" w:rsidR="00994554" w:rsidRPr="007C7C4A" w:rsidRDefault="006F336C" w:rsidP="009322E9">
      <w:pPr>
        <w:pStyle w:val="Akapitzlist"/>
        <w:numPr>
          <w:ilvl w:val="0"/>
          <w:numId w:val="31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Realizując politykę bezpieczeństwa informacji, ADO lub upoważniona przez niego osoba ma prawo wydawać instrukcje regulujące kwestie związane z ochrona danych w strukturach Podmiotu. </w:t>
      </w:r>
    </w:p>
    <w:p w14:paraId="79BF4062" w14:textId="77777777" w:rsidR="00994554" w:rsidRPr="007C7C4A" w:rsidRDefault="006F336C" w:rsidP="009322E9">
      <w:pPr>
        <w:pStyle w:val="Akapitzlist"/>
        <w:numPr>
          <w:ilvl w:val="0"/>
          <w:numId w:val="31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W umowach zawieranych przez Podmiot winny znajdować się postanowienia zobowiązujące podmioty </w:t>
      </w: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 xml:space="preserve">zewnętrzne do ochrony danych udostępnianych przez Podmiot. </w:t>
      </w:r>
    </w:p>
    <w:p w14:paraId="79BF4063" w14:textId="77777777" w:rsidR="00994554" w:rsidRPr="007C7C4A" w:rsidRDefault="006F336C" w:rsidP="009322E9">
      <w:pPr>
        <w:pStyle w:val="Akapitzlist"/>
        <w:numPr>
          <w:ilvl w:val="0"/>
          <w:numId w:val="31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Ochrona danych osobowych Podmiotu jako całości przed ich nieuprawnionym użyciem lub zniszczeniem jest jednym z podstawowych obowiązków jego pracowników. </w:t>
      </w:r>
    </w:p>
    <w:p w14:paraId="79BF4065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ZASADY UDZIELANIA DOSTĘPU DO DANYCH OSOBOWYCH</w:t>
      </w:r>
    </w:p>
    <w:p w14:paraId="79BF4066" w14:textId="0843468C" w:rsidR="00994554" w:rsidRPr="007C7C4A" w:rsidRDefault="006F336C" w:rsidP="009322E9">
      <w:pPr>
        <w:pStyle w:val="Akapitzlist"/>
        <w:numPr>
          <w:ilvl w:val="0"/>
          <w:numId w:val="3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Dostęp do danych osobowych może mieć wyłącznie osoba zaznajomiona z przepisami prawa oraz zasadami zawartymi w obowiązującej w Podmiocie Polityce i innych dokumentach czy procedurach wewnętrznych. Osoba zaznajomiona z zasadami ochrony danych potwierdza to w pisemnym oświadczeniu, którego wzór stanowi załącznik nr 1 do niniejszej Polityki.</w:t>
      </w:r>
    </w:p>
    <w:p w14:paraId="79BF4067" w14:textId="77777777" w:rsidR="00994554" w:rsidRPr="007C7C4A" w:rsidRDefault="006F336C" w:rsidP="009322E9">
      <w:pPr>
        <w:pStyle w:val="Akapitzlist"/>
        <w:numPr>
          <w:ilvl w:val="0"/>
          <w:numId w:val="3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Dostęp do danych może mieć wyłącznie osoba posiadająca pisemne oraz imienne upoważnienie wydane przez ADO. Wzór upoważnienia stanowi załącznik nr 2 do niniejszej Polityki.</w:t>
      </w:r>
    </w:p>
    <w:p w14:paraId="79BF4068" w14:textId="77777777" w:rsidR="00994554" w:rsidRPr="007C7C4A" w:rsidRDefault="006F336C" w:rsidP="009322E9">
      <w:pPr>
        <w:pStyle w:val="Akapitzlist"/>
        <w:numPr>
          <w:ilvl w:val="0"/>
          <w:numId w:val="3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Ewidencja upoważnień prowadzona jest przez ADO, która stanowi załącznik nr 3 do niniejszej polityki.</w:t>
      </w:r>
    </w:p>
    <w:p w14:paraId="79BF4069" w14:textId="502951AB" w:rsidR="00994554" w:rsidRPr="007C7C4A" w:rsidRDefault="006F336C" w:rsidP="009322E9">
      <w:pPr>
        <w:pStyle w:val="Akapitzlist"/>
        <w:numPr>
          <w:ilvl w:val="0"/>
          <w:numId w:val="32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ADO może wyznaczyć upoważnionych do przetwarzania danych osobowych pracowników Podmiotu do</w:t>
      </w:r>
      <w:r w:rsidR="002E11A7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 </w:t>
      </w: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nadzoru nad upoważnionymi pracownikami podmiotów zewnętrznych lub innymi upoważnionymi osobami przetwarzającymi dane osobowe w Podmiocie.</w:t>
      </w:r>
    </w:p>
    <w:p w14:paraId="79BF406A" w14:textId="3634C6EE" w:rsidR="00994554" w:rsidRPr="003F7732" w:rsidRDefault="006F336C" w:rsidP="00C51111">
      <w:pPr>
        <w:suppressAutoHyphens/>
        <w:spacing w:line="360" w:lineRule="auto"/>
        <w:jc w:val="center"/>
        <w:rPr>
          <w:rFonts w:asciiTheme="minorHAnsi" w:eastAsia="Verdana" w:hAnsiTheme="minorHAnsi" w:cs="Verdana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Przetwarzanie danych osobowych</w:t>
      </w:r>
      <w:r w:rsidR="00A3319D"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.</w:t>
      </w:r>
    </w:p>
    <w:p w14:paraId="79BF406B" w14:textId="0E81BB7E" w:rsidR="00994554" w:rsidRPr="007C7C4A" w:rsidRDefault="006F336C" w:rsidP="00C51111">
      <w:pPr>
        <w:pStyle w:val="Akapitzlist"/>
        <w:numPr>
          <w:ilvl w:val="0"/>
          <w:numId w:val="4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Przetwarzanie danych osobowych następuje w wyznaczonych pomieszczeniach przez upoważnione do</w:t>
      </w:r>
      <w:r w:rsidR="002E11A7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 </w:t>
      </w: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tego osoby. </w:t>
      </w:r>
    </w:p>
    <w:p w14:paraId="79BF406C" w14:textId="77777777" w:rsidR="00994554" w:rsidRPr="007C7C4A" w:rsidRDefault="006F336C" w:rsidP="00C51111">
      <w:pPr>
        <w:pStyle w:val="Akapitzlist"/>
        <w:numPr>
          <w:ilvl w:val="0"/>
          <w:numId w:val="4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Pomieszczenia są zamykane na klucz podczas nieobecności w nich osób zatrudnionych przy przetwarzaniu danych, w sposób uniemożliwiający dostęp do nich osób trzecich. </w:t>
      </w:r>
    </w:p>
    <w:p w14:paraId="79BF406D" w14:textId="77777777" w:rsidR="00994554" w:rsidRPr="007C7C4A" w:rsidRDefault="006F336C" w:rsidP="00C51111">
      <w:pPr>
        <w:pStyle w:val="Akapitzlist"/>
        <w:numPr>
          <w:ilvl w:val="0"/>
          <w:numId w:val="4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Wydruki, które zawierają dane osobowe i są przeznaczone do usunięcia należy niszczyć w sposób uniemożliwiający ich odczytanie. </w:t>
      </w:r>
    </w:p>
    <w:p w14:paraId="79BF406E" w14:textId="77777777" w:rsidR="00994554" w:rsidRPr="007C7C4A" w:rsidRDefault="006F336C" w:rsidP="00C51111">
      <w:pPr>
        <w:pStyle w:val="Akapitzlist"/>
        <w:numPr>
          <w:ilvl w:val="0"/>
          <w:numId w:val="42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Urządzenia lub dyski a także inne informatyczne nośniki danych, przeznaczone do naprawy, pozbawia się przed naprawą zapisu tych danych albo naprawia się je pod nadzorem osoby upoważnionej przez administratora danych. </w:t>
      </w:r>
    </w:p>
    <w:p w14:paraId="79BF4071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ARCHIWIZOWANIE INFORMACJI ZAWIERAJĄCYCH DANE OSOBOWE</w:t>
      </w:r>
    </w:p>
    <w:p w14:paraId="62588C59" w14:textId="77777777" w:rsidR="007C7C4A" w:rsidRPr="007C7C4A" w:rsidRDefault="006F336C" w:rsidP="009322E9">
      <w:pPr>
        <w:pStyle w:val="Akapitzlist"/>
        <w:numPr>
          <w:ilvl w:val="0"/>
          <w:numId w:val="33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Archiwizacji informacji zawierających dane osobowe odbywa się w formie elektronicznej oraz papierowej. </w:t>
      </w:r>
    </w:p>
    <w:p w14:paraId="79BF4072" w14:textId="361F1AEB" w:rsidR="00994554" w:rsidRPr="007C7C4A" w:rsidRDefault="006F336C" w:rsidP="009322E9">
      <w:pPr>
        <w:pStyle w:val="Akapitzlist"/>
        <w:numPr>
          <w:ilvl w:val="0"/>
          <w:numId w:val="33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Nośniki danych przechowywane są w wydzielonych pomieszczeniach, które zabezpieczone są przed dostępem osób nieupoważnionych. </w:t>
      </w:r>
    </w:p>
    <w:p w14:paraId="79BF4075" w14:textId="3997024F" w:rsidR="00994554" w:rsidRPr="003F7732" w:rsidRDefault="006F336C" w:rsidP="007E3B68">
      <w:pPr>
        <w:suppressAutoHyphens/>
        <w:spacing w:line="360" w:lineRule="auto"/>
        <w:ind w:left="249" w:hanging="249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ZASADY OGÓLNE W ZAKRESIE OCHRONY DANYCH OSOBOWYCH</w:t>
      </w:r>
      <w:r w:rsidR="000C3679"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 xml:space="preserve"> </w:t>
      </w:r>
      <w:r w:rsidR="00381C63"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W</w:t>
      </w: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 xml:space="preserve"> PODMIOCIE</w:t>
      </w:r>
    </w:p>
    <w:p w14:paraId="79BF4076" w14:textId="08D0AE59" w:rsidR="00994554" w:rsidRPr="007C7C4A" w:rsidRDefault="006F336C" w:rsidP="009322E9">
      <w:pPr>
        <w:pStyle w:val="Akapitzlist"/>
        <w:numPr>
          <w:ilvl w:val="0"/>
          <w:numId w:val="3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Administrator Danych Osobowych i </w:t>
      </w:r>
      <w:r w:rsidR="009D06E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0C3679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:</w:t>
      </w:r>
    </w:p>
    <w:p w14:paraId="79BF4077" w14:textId="14ED2186" w:rsidR="00994554" w:rsidRPr="00CF1122" w:rsidRDefault="006F336C" w:rsidP="00A9721E">
      <w:pPr>
        <w:numPr>
          <w:ilvl w:val="0"/>
          <w:numId w:val="12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dba o ochronę prywatności i przetwarza dane zgodnie z wymogami prawa</w:t>
      </w:r>
      <w:r w:rsidR="007E3B6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78" w14:textId="682BBD83" w:rsidR="00994554" w:rsidRPr="00CF1122" w:rsidRDefault="006F336C" w:rsidP="00A9721E">
      <w:pPr>
        <w:numPr>
          <w:ilvl w:val="0"/>
          <w:numId w:val="12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zapewnia odpowiedni poziom bezpieczeństwa danych stale podejmując działania w tym zakresie</w:t>
      </w:r>
      <w:r w:rsidR="007E3B6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79" w14:textId="71122E64" w:rsidR="00994554" w:rsidRPr="00CF1122" w:rsidRDefault="006F336C" w:rsidP="00A9721E">
      <w:pPr>
        <w:numPr>
          <w:ilvl w:val="0"/>
          <w:numId w:val="12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dokumentuje sposób spełniania obowiązki ustawowych w zakresie ochrony danych osobowych</w:t>
      </w:r>
      <w:r w:rsidR="007E3B6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7A" w14:textId="618AB06E" w:rsidR="00994554" w:rsidRPr="00CF1122" w:rsidRDefault="006F336C" w:rsidP="00A9721E">
      <w:pPr>
        <w:numPr>
          <w:ilvl w:val="0"/>
          <w:numId w:val="12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dokonuje identyfikacji zasobów danych osobowych, klas danych, zależności między zasobami danych, identyfikacji sposobów wykorzystania danych</w:t>
      </w:r>
      <w:r w:rsidR="007E3B6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7B" w14:textId="1D506C97" w:rsidR="00994554" w:rsidRPr="00CF1122" w:rsidRDefault="006F336C" w:rsidP="00A9721E">
      <w:pPr>
        <w:numPr>
          <w:ilvl w:val="0"/>
          <w:numId w:val="12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opracowuje i prowadzi Rejestr Czynności Danych Osobowych, którego celem jest możliwość pełnienia nadzoru i monitoringu nad procesami przetwarzania danych osobowych</w:t>
      </w:r>
      <w:r w:rsidR="007E3B68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7C" w14:textId="2C23DB76" w:rsidR="00994554" w:rsidRPr="007C7C4A" w:rsidRDefault="006F336C" w:rsidP="009322E9">
      <w:pPr>
        <w:pStyle w:val="Akapitzlist"/>
        <w:numPr>
          <w:ilvl w:val="0"/>
          <w:numId w:val="3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Dodatkowo </w:t>
      </w:r>
      <w:r w:rsidR="009D06E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Danych:</w:t>
      </w:r>
      <w:bookmarkStart w:id="0" w:name="_GoBack"/>
      <w:bookmarkEnd w:id="0"/>
    </w:p>
    <w:p w14:paraId="79BF407D" w14:textId="75E0E024" w:rsidR="00994554" w:rsidRPr="00CF1122" w:rsidRDefault="006F336C" w:rsidP="00A9721E">
      <w:pPr>
        <w:numPr>
          <w:ilvl w:val="0"/>
          <w:numId w:val="13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zapewnia, identyfikuje, weryfikuje podstawy prawne przetwarzania danych i rejestruje je w Rejestrze Czynności Danych Osobowych</w:t>
      </w:r>
      <w:r w:rsidR="008A4C7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7E" w14:textId="4F03BEC3" w:rsidR="00994554" w:rsidRPr="00CF1122" w:rsidRDefault="006F336C" w:rsidP="00A9721E">
      <w:pPr>
        <w:numPr>
          <w:ilvl w:val="0"/>
          <w:numId w:val="13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utrzymuje system zarządzania zgodami na przetwarzanie danych</w:t>
      </w:r>
      <w:r w:rsidR="008A4C7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7F" w14:textId="5DBA1814" w:rsidR="00994554" w:rsidRPr="00CF1122" w:rsidRDefault="006F336C" w:rsidP="00A9721E">
      <w:pPr>
        <w:numPr>
          <w:ilvl w:val="0"/>
          <w:numId w:val="13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inwentaryzuje dane na podstawie prawnie uzasadnionego interesu</w:t>
      </w:r>
      <w:r w:rsidR="008A4C7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80" w14:textId="77777777" w:rsidR="00994554" w:rsidRPr="00CF1122" w:rsidRDefault="006F336C" w:rsidP="00A9721E">
      <w:pPr>
        <w:numPr>
          <w:ilvl w:val="0"/>
          <w:numId w:val="13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spełnia obowiązki informacyjne względem osób, których dane przetwarza, oraz zapewnia obsługę ich praw, realizując otrzymane w tym zakresie żądania.</w:t>
      </w:r>
    </w:p>
    <w:p w14:paraId="79BF4081" w14:textId="3C07F3F7" w:rsidR="00994554" w:rsidRPr="007C7C4A" w:rsidRDefault="009D06EE" w:rsidP="009322E9">
      <w:pPr>
        <w:pStyle w:val="Akapitzlist"/>
        <w:numPr>
          <w:ilvl w:val="0"/>
          <w:numId w:val="3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informuje odbiorców danych o sprostowaniu, usunięciu lub ograniczeniu przetwarzania danych (chyba że będzie to wymagało niewspółmiernie dużego wysiłku lub będzie niemożliwe).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informuje osobę o prawie sprzeciwu względem przetwarzania danych najpóźniej przy pierwszym kontakcie z tą osobą</w:t>
      </w:r>
      <w:r w:rsidR="00CF1122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.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bez zbędnej zwłoki zawiadamia osobę o naruszeniu ochrony danych osobowych, jeżeli może ono powodować wysokie ryzyko naruszenia praw lub wolności tej osoby.</w:t>
      </w:r>
      <w:r w:rsidR="00CF1122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na żądanie osoby informuje ją, czy przetwarza jej dane oraz informuje osobę o szczegółach przetwarzania zgodnie z art. 15 RODO, a także udziela osobie dostępu do danych jej dotyczących.  </w:t>
      </w:r>
    </w:p>
    <w:p w14:paraId="79BF4082" w14:textId="1D0202F1" w:rsidR="00994554" w:rsidRPr="007C7C4A" w:rsidRDefault="009D06EE" w:rsidP="009322E9">
      <w:pPr>
        <w:pStyle w:val="Akapitzlist"/>
        <w:numPr>
          <w:ilvl w:val="0"/>
          <w:numId w:val="3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dokonuje sprostowania nieprawidłowych danych na żądanie osoby.</w:t>
      </w:r>
      <w:r w:rsidR="00CF1122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uzupełnia i aktualizuje dane na żądanie osoby, ma prawo odmówić uzupełnienia danych, jeżeli uzupełnienie byłoby niezgodne z celami przetwarzania.</w:t>
      </w:r>
      <w:r w:rsidR="00CF1122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7C7C4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na żądanie osoby usuwa dane gdy zajdzie choć jedna okoliczność wymieniona poniżej :</w:t>
      </w:r>
    </w:p>
    <w:p w14:paraId="79BF4083" w14:textId="77777777" w:rsidR="00994554" w:rsidRPr="00CF1122" w:rsidRDefault="006F336C" w:rsidP="00A9721E">
      <w:pPr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dane nie są niezbędne do celów, w których zostały zebrane ani przetwarzane w innych celach,</w:t>
      </w:r>
    </w:p>
    <w:p w14:paraId="79BF4084" w14:textId="77777777" w:rsidR="00994554" w:rsidRPr="00CF1122" w:rsidRDefault="006F336C" w:rsidP="00A9721E">
      <w:pPr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zgoda na ich przetwarzanie została cofnięta, a nie ma innej podstawy prawnej przetwarzania,</w:t>
      </w:r>
    </w:p>
    <w:p w14:paraId="79BF4085" w14:textId="77777777" w:rsidR="00994554" w:rsidRPr="00CF1122" w:rsidRDefault="006F336C" w:rsidP="00A9721E">
      <w:pPr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osoba wniosła skuteczny sprzeciw względem przetwarzania tych danych,</w:t>
      </w:r>
    </w:p>
    <w:p w14:paraId="79BF4086" w14:textId="77777777" w:rsidR="00994554" w:rsidRPr="00CF1122" w:rsidRDefault="006F336C" w:rsidP="00A9721E">
      <w:pPr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dane były przetwarzane niezgodnie z prawem,</w:t>
      </w:r>
    </w:p>
    <w:p w14:paraId="79BF4087" w14:textId="02DAE4AA" w:rsidR="00994554" w:rsidRPr="00CF1122" w:rsidRDefault="006F336C" w:rsidP="00A9721E">
      <w:pPr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konieczność usunięcia wynika z obowiązku prawnego</w:t>
      </w:r>
      <w:r w:rsidR="00B7582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89" w14:textId="1C19FDA1" w:rsidR="00994554" w:rsidRPr="00A9721E" w:rsidRDefault="009D06EE" w:rsidP="009322E9">
      <w:pPr>
        <w:pStyle w:val="Akapitzlist"/>
        <w:numPr>
          <w:ilvl w:val="0"/>
          <w:numId w:val="34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="00CF1122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weryfikuje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zakres pozyskiwanych dan</w:t>
      </w:r>
      <w:r w:rsidR="0096140A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ych, zakres ich przetwarzania i 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ilość przetwarzanych danych pod kątem adekwatności do celów przetwarzania w ramach wdrożenia RODO.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dokonuje aktualizacji uprawnień dostępowych przy zmianach w składzie 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 xml:space="preserve">personelu i zmianach ról osób, oraz zmianach podmiotów przetwarzających.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dokonuje okresowego przeglądu ustanowionych użytkowników systemów i aktualizuje ich nie rzadziej niż raz na rok. </w:t>
      </w:r>
      <w:r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Inspektor Ochrony Danych</w:t>
      </w:r>
      <w:r w:rsidR="006F336C" w:rsidRPr="00A9721E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wdraża mechanizmy kontroli cyklu życia danych osobowych w Podmiocie, w tym weryfikacji dalszej przydatności danych względem terminów i punktów kontrolnych wskazanych w Rejestrze.</w:t>
      </w:r>
    </w:p>
    <w:p w14:paraId="4FF442FF" w14:textId="77777777" w:rsidR="00381C63" w:rsidRPr="003F7732" w:rsidRDefault="006F336C" w:rsidP="00381C63">
      <w:pPr>
        <w:suppressAutoHyphens/>
        <w:jc w:val="center"/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ZASADY ZGŁASZANIA NARUSZEŃ BEZPIECZEŃSTWA INFORMACJI</w:t>
      </w:r>
    </w:p>
    <w:p w14:paraId="79BF408B" w14:textId="26CADFB1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ORAZ ZAGROŻEŃ PRAWIDŁOWEJ REALIZACJI ZAŁOŻEŃ POLITYKI</w:t>
      </w:r>
    </w:p>
    <w:p w14:paraId="79BF408C" w14:textId="77777777" w:rsidR="00994554" w:rsidRPr="00381C63" w:rsidRDefault="006F336C" w:rsidP="009322E9">
      <w:pPr>
        <w:pStyle w:val="Akapitzlist"/>
        <w:numPr>
          <w:ilvl w:val="0"/>
          <w:numId w:val="35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Incydent naruszenia bezpieczeństwa informacji polega na udostępnieniu lub umożliwieniu dostępu osobie nieupoważnionej, nieuprawnionym ujawnieniu informacji, utracie, uszkodzeniu, zniszczeniu jej nośnika lub jakiegokolwiek elementu jej zabezpieczenia. W szczególności incydentem naruszenia bezpieczeństwa informacji jest:</w:t>
      </w:r>
    </w:p>
    <w:p w14:paraId="79BF408D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nieautoryzowany dostęp do danych,</w:t>
      </w:r>
    </w:p>
    <w:p w14:paraId="79BF408E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nieautoryzowany dostęp do sytemu informatycznego,</w:t>
      </w:r>
    </w:p>
    <w:p w14:paraId="79BF408F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nieautoryzowana modyfikacja lub zniszczenie danych,</w:t>
      </w:r>
    </w:p>
    <w:p w14:paraId="79BF4090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nieautoryzowane udostępnienie danych,</w:t>
      </w:r>
    </w:p>
    <w:p w14:paraId="79BF4091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nielegalne ujawnienie danych,</w:t>
      </w:r>
    </w:p>
    <w:p w14:paraId="79BF4092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pozyskiwanie danych z nielegalnych źródeł,</w:t>
      </w:r>
    </w:p>
    <w:p w14:paraId="79BF4093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ujawnienie wirusów komputerowych lub innych programów godzących w integralność systemu informatycznego,</w:t>
      </w:r>
    </w:p>
    <w:p w14:paraId="79BF4094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624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kradzież nośników zawierających dane,</w:t>
      </w:r>
    </w:p>
    <w:p w14:paraId="79BF4095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right="14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rażące nieprzestrzeganie Polityki lub aktów prawnych regulujących zagadnienia bezpieczeństwa informacji oraz ochrony danych osobowych,</w:t>
      </w:r>
    </w:p>
    <w:p w14:paraId="79BF4096" w14:textId="77777777" w:rsidR="00994554" w:rsidRPr="00381C63" w:rsidRDefault="006F336C" w:rsidP="009322E9">
      <w:pPr>
        <w:pStyle w:val="Akapitzlist"/>
        <w:numPr>
          <w:ilvl w:val="0"/>
          <w:numId w:val="36"/>
        </w:numPr>
        <w:suppressAutoHyphens/>
        <w:spacing w:line="360" w:lineRule="auto"/>
        <w:ind w:left="851" w:hanging="425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wydarzenie losowe obniżające stan bezpieczeństwa systemu (brak zasilania, pożar itp.),</w:t>
      </w:r>
    </w:p>
    <w:p w14:paraId="79BF4097" w14:textId="77777777" w:rsidR="00994554" w:rsidRPr="00381C63" w:rsidRDefault="006F336C" w:rsidP="009322E9">
      <w:pPr>
        <w:pStyle w:val="Akapitzlist"/>
        <w:numPr>
          <w:ilvl w:val="0"/>
          <w:numId w:val="35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Każda osoba, która stwierdziła wystąpienie incydentu bezpieczeństwa informacji zobowiązana jest do stosowania procedur określonych w instrukcji postępowania w sytuacji naruszenia ochrony danych osobowych. </w:t>
      </w:r>
    </w:p>
    <w:p w14:paraId="79BF4098" w14:textId="77777777" w:rsidR="00994554" w:rsidRPr="00381C63" w:rsidRDefault="006F336C" w:rsidP="009322E9">
      <w:pPr>
        <w:pStyle w:val="Akapitzlist"/>
        <w:numPr>
          <w:ilvl w:val="0"/>
          <w:numId w:val="35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Administrator Danych Osobowych stosuje procedury pozwalające na identyfikację, ocenę i zgłoszenie zidentyfikowanego naruszenia ochrony danych Urzędowi Ochrony Danych w terminie 72 godzin od ustalenia naruszenia.  </w:t>
      </w:r>
    </w:p>
    <w:p w14:paraId="54E685CB" w14:textId="4397BB01" w:rsidR="00381C63" w:rsidRPr="003F7732" w:rsidRDefault="006F336C" w:rsidP="00381C63">
      <w:pPr>
        <w:suppressAutoHyphens/>
        <w:jc w:val="center"/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Informacje o zasadach przeprowadzania kontroli zgodności systemu informatycznego</w:t>
      </w:r>
    </w:p>
    <w:p w14:paraId="79BF409A" w14:textId="137D9C6C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z polityką</w:t>
      </w:r>
      <w:r w:rsidR="0096140A"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 xml:space="preserve"> bezpieczeństwa</w:t>
      </w:r>
    </w:p>
    <w:p w14:paraId="79BF409B" w14:textId="3D493A66" w:rsidR="00994554" w:rsidRPr="00CF1122" w:rsidRDefault="006F336C" w:rsidP="009322E9">
      <w:pPr>
        <w:numPr>
          <w:ilvl w:val="0"/>
          <w:numId w:val="15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Za kontrole zgodności systemu informatycznego z Polityką odpowiada </w:t>
      </w:r>
      <w:r w:rsidR="00625CD6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IOD</w:t>
      </w:r>
      <w:r w:rsidR="007D7B0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.</w:t>
      </w:r>
    </w:p>
    <w:p w14:paraId="79BF409C" w14:textId="77777777" w:rsidR="00994554" w:rsidRPr="00CF1122" w:rsidRDefault="006F336C" w:rsidP="009322E9">
      <w:pPr>
        <w:numPr>
          <w:ilvl w:val="0"/>
          <w:numId w:val="15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Termin, zakres i zasady przeprowadzania tych kontroli określa </w:t>
      </w:r>
      <w:r w:rsidR="00625CD6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IOD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po uzyskaniu akceptacji ADO.</w:t>
      </w:r>
    </w:p>
    <w:p w14:paraId="79BF409E" w14:textId="77777777" w:rsidR="00994554" w:rsidRPr="007175A4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highlight w:val="white"/>
          <w:u w:val="single"/>
        </w:rPr>
      </w:pPr>
      <w:r w:rsidRPr="007175A4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lastRenderedPageBreak/>
        <w:t>Informacje o okresowym audycie wewnętrznym w zakresie bezpieczeństwa informacji</w:t>
      </w:r>
    </w:p>
    <w:p w14:paraId="79BF409F" w14:textId="77777777" w:rsidR="00994554" w:rsidRPr="00CF1122" w:rsidRDefault="006F336C" w:rsidP="009322E9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Zgodnie z aktualnie obowiązującymi przepisami prawa zapewnia się przeprowadzenie corocznego audytu wewnętrznego w zakresie bezpieczeństwa przetwarzanych informacji.</w:t>
      </w:r>
    </w:p>
    <w:p w14:paraId="79BF40A0" w14:textId="77777777" w:rsidR="00994554" w:rsidRPr="00CF1122" w:rsidRDefault="006F336C" w:rsidP="009322E9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Audyt, o którym mowa w punkcie 1 będzie przeprowadzany </w:t>
      </w:r>
      <w:r w:rsidR="00CF1122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 grudniu każdego roku.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</w:p>
    <w:p w14:paraId="79BF40A2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REJESTR CZYNNOŚCI PRZETWARZANIA DANYCH</w:t>
      </w:r>
    </w:p>
    <w:p w14:paraId="79BF40A3" w14:textId="507FF1BF" w:rsidR="00994554" w:rsidRPr="00381C63" w:rsidRDefault="006F336C" w:rsidP="009322E9">
      <w:pPr>
        <w:pStyle w:val="Akapitzlist"/>
        <w:numPr>
          <w:ilvl w:val="0"/>
          <w:numId w:val="37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RCPD stanowi formę dokumentowania czynności przetwarzania danych i jest jednym z kluczowych elementów umożliwiających realizację fundamentalnej zasady rozlicz</w:t>
      </w:r>
      <w:r w:rsidR="00B715CF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al</w:t>
      </w: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ności.</w:t>
      </w:r>
    </w:p>
    <w:p w14:paraId="79BF40A4" w14:textId="77777777" w:rsidR="00994554" w:rsidRPr="00381C63" w:rsidRDefault="006F336C" w:rsidP="009322E9">
      <w:pPr>
        <w:pStyle w:val="Akapitzlist"/>
        <w:numPr>
          <w:ilvl w:val="0"/>
          <w:numId w:val="37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Administrator Danych Osobowych prowadzi Rejestr Czynności Przetwarzania D</w:t>
      </w:r>
      <w:r w:rsidR="00F45EAE"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anych, w którym inwentaryzuje i </w:t>
      </w: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monitoruje sposób, w jaki wykorzystuje dane osobowe.</w:t>
      </w:r>
    </w:p>
    <w:p w14:paraId="79BF40A5" w14:textId="77777777" w:rsidR="00994554" w:rsidRPr="00381C63" w:rsidRDefault="006F336C" w:rsidP="009322E9">
      <w:pPr>
        <w:pStyle w:val="Akapitzlist"/>
        <w:numPr>
          <w:ilvl w:val="0"/>
          <w:numId w:val="37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Rejestr Czynności Przetwarzania Danych Osobowych zawiera :</w:t>
      </w:r>
    </w:p>
    <w:p w14:paraId="79BF40A6" w14:textId="29E50F8E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nazw</w:t>
      </w:r>
      <w:r w:rsidR="009C341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ę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czynności przetwarzania,</w:t>
      </w:r>
    </w:p>
    <w:p w14:paraId="79BF40A7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cel przetwarzania, </w:t>
      </w:r>
    </w:p>
    <w:p w14:paraId="79BF40A8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kategorie osób, </w:t>
      </w:r>
    </w:p>
    <w:p w14:paraId="79BF40A9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kategorie danych, </w:t>
      </w:r>
    </w:p>
    <w:p w14:paraId="79BF40AA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planowany termin usunięcia kategorii danych, </w:t>
      </w:r>
    </w:p>
    <w:p w14:paraId="79BF40AB" w14:textId="5892B25C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nazw</w:t>
      </w:r>
      <w:r w:rsidR="009C341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ę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współadministratora</w:t>
      </w:r>
      <w:proofErr w:type="spellEnd"/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i dane kontaktowe</w:t>
      </w:r>
      <w:r w:rsidR="009C341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</w:p>
    <w:p w14:paraId="79BF40AC" w14:textId="131FC061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nazw</w:t>
      </w:r>
      <w:r w:rsidR="009C341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ę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podmiotu przetwarzającego i dane kontaktowe,</w:t>
      </w:r>
    </w:p>
    <w:p w14:paraId="79BF40AD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kategorie odbiorców,</w:t>
      </w:r>
    </w:p>
    <w:p w14:paraId="79BF40AE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ogólny opis technicznych i organizacyjnych środków bezpieczeństwa,</w:t>
      </w:r>
    </w:p>
    <w:p w14:paraId="79BF40AF" w14:textId="77777777" w:rsidR="00994554" w:rsidRPr="00CF1122" w:rsidRDefault="006F336C" w:rsidP="009322E9">
      <w:pPr>
        <w:numPr>
          <w:ilvl w:val="0"/>
          <w:numId w:val="17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transfer do kraju trzeciego lub organizacji międzynarodowej.</w:t>
      </w:r>
    </w:p>
    <w:p w14:paraId="79BF40B0" w14:textId="77777777" w:rsidR="00994554" w:rsidRPr="00381C63" w:rsidRDefault="006F336C" w:rsidP="009322E9">
      <w:pPr>
        <w:pStyle w:val="Akapitzlist"/>
        <w:numPr>
          <w:ilvl w:val="0"/>
          <w:numId w:val="37"/>
        </w:numPr>
        <w:suppressAutoHyphens/>
        <w:spacing w:line="360" w:lineRule="auto"/>
        <w:ind w:left="426"/>
        <w:jc w:val="both"/>
        <w:rPr>
          <w:rFonts w:asciiTheme="minorHAnsi" w:eastAsia="Verdana" w:hAnsiTheme="minorHAnsi" w:cs="Verdana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Wzór Rejestru Czynności Przetwarzania Danych stanowi załącznik nr 4 do niniejszej Polityki.</w:t>
      </w:r>
    </w:p>
    <w:p w14:paraId="79BF40B2" w14:textId="608E3F97" w:rsidR="00994554" w:rsidRPr="003F7732" w:rsidRDefault="006F336C" w:rsidP="0092296B">
      <w:pPr>
        <w:tabs>
          <w:tab w:val="left" w:pos="360"/>
        </w:tabs>
        <w:suppressAutoHyphens/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Zapobieganie i wykrywanie wirusów</w:t>
      </w:r>
      <w:r w:rsidR="0092296B"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 xml:space="preserve"> </w:t>
      </w: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oraz innego złośliwego oprogramowania</w:t>
      </w:r>
    </w:p>
    <w:p w14:paraId="5F143C4B" w14:textId="77777777" w:rsidR="00347F49" w:rsidRPr="00347F49" w:rsidRDefault="006F336C" w:rsidP="009322E9">
      <w:pPr>
        <w:pStyle w:val="Akapitzlist"/>
        <w:numPr>
          <w:ilvl w:val="0"/>
          <w:numId w:val="3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 celu spełnienia wymogów Polityki w systemie informatycznym stosu</w:t>
      </w:r>
      <w:r w:rsidR="0096140A"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je się ochronę przed wirusami i </w:t>
      </w: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złośliwym oprogramowaniem poprzez rozwiązania organizacyjne oraz specjalne oprogramowanie. </w:t>
      </w:r>
    </w:p>
    <w:p w14:paraId="64BF4E41" w14:textId="77777777" w:rsidR="00347F49" w:rsidRPr="00347F49" w:rsidRDefault="006F336C" w:rsidP="009322E9">
      <w:pPr>
        <w:pStyle w:val="Akapitzlist"/>
        <w:numPr>
          <w:ilvl w:val="0"/>
          <w:numId w:val="3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Poprawne działanie oprogramowania zależy zarówno od jego konfiguracji jak i od prawidłowych zachowań pracowników. </w:t>
      </w:r>
    </w:p>
    <w:p w14:paraId="79BF40B3" w14:textId="2659F957" w:rsidR="00994554" w:rsidRPr="00381C63" w:rsidRDefault="006F336C" w:rsidP="009322E9">
      <w:pPr>
        <w:pStyle w:val="Akapitzlist"/>
        <w:numPr>
          <w:ilvl w:val="0"/>
          <w:numId w:val="38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381C63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Aby zagwarantować wysoki poziom ochrony, konieczne jest przestrzeganie następujących zaleceń:</w:t>
      </w:r>
    </w:p>
    <w:p w14:paraId="79BF40B4" w14:textId="77777777" w:rsidR="00994554" w:rsidRPr="00CF1122" w:rsidRDefault="006F336C" w:rsidP="009322E9">
      <w:pPr>
        <w:numPr>
          <w:ilvl w:val="0"/>
          <w:numId w:val="18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Rozwiązania chroniące przed wirusami i złośliwym oprogramowaniem są zastosowane na każdym urządzeniu (systemie), które podatne jest na atak (uruchomienie) takiego oprogramowania.</w:t>
      </w:r>
    </w:p>
    <w:p w14:paraId="79BF40B5" w14:textId="77777777" w:rsidR="00994554" w:rsidRPr="00CF1122" w:rsidRDefault="006F336C" w:rsidP="009322E9">
      <w:pPr>
        <w:numPr>
          <w:ilvl w:val="0"/>
          <w:numId w:val="18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Definicje służące do rozpoznawania nowych zagrożeń są wprowadzane w systemie niezwłocznie po ich upublicznieniu.</w:t>
      </w:r>
    </w:p>
    <w:p w14:paraId="79BF40B6" w14:textId="77777777" w:rsidR="00994554" w:rsidRPr="00CF1122" w:rsidRDefault="006F336C" w:rsidP="009322E9">
      <w:pPr>
        <w:numPr>
          <w:ilvl w:val="0"/>
          <w:numId w:val="18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Jeżeli usunięcie wykrytego wirusa wymaga interakcji z użytkownikiem, użytkownik powinien proces 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usunięcia przeprowadzić zgodnie ze szczegółową instrukcją przygotowaną dla określonych przypadków.</w:t>
      </w:r>
    </w:p>
    <w:p w14:paraId="79BF40B7" w14:textId="77777777" w:rsidR="00994554" w:rsidRPr="00CF1122" w:rsidRDefault="006F336C" w:rsidP="009322E9">
      <w:pPr>
        <w:numPr>
          <w:ilvl w:val="0"/>
          <w:numId w:val="18"/>
        </w:numPr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Dane przechowywane na dyskach twardych powinny być sprawdzane zarówno w czasie rzeczywistym (przed każdym zapisaniem i odczytaniem) oraz okresowo w trybie dedykowanym, w którym sprawdzeniu podlegają jednocześnie wszystkie dane mogące zawierać wirusy.</w:t>
      </w:r>
    </w:p>
    <w:p w14:paraId="79BF40B8" w14:textId="77777777" w:rsidR="00994554" w:rsidRPr="00CF1122" w:rsidRDefault="006F336C" w:rsidP="009322E9">
      <w:pPr>
        <w:numPr>
          <w:ilvl w:val="0"/>
          <w:numId w:val="18"/>
        </w:numPr>
        <w:tabs>
          <w:tab w:val="left" w:pos="1080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Nośniki i dane pochodzące ze źródeł nie gwarantujących ochrony przed wirusami muszą być sprawdzane przed ich wprowadzeniem do systemu Podmiotu. Sprawdzenie to jest wykonywane automatycznie, przez zainstalowane oprogramowanie. </w:t>
      </w:r>
    </w:p>
    <w:p w14:paraId="79BF40B9" w14:textId="77777777" w:rsidR="00994554" w:rsidRPr="00CF1122" w:rsidRDefault="006F336C" w:rsidP="009322E9">
      <w:pPr>
        <w:numPr>
          <w:ilvl w:val="0"/>
          <w:numId w:val="18"/>
        </w:numPr>
        <w:tabs>
          <w:tab w:val="left" w:pos="1080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Dane, które mogą zawierać wirusy, a do systemu docierają skompresowane lub zaszyfrowane, muszą być przed sprawdzeniem przywrócone do właściwej postaci. Przywrócenie to może przebiegać automatycznie.</w:t>
      </w:r>
    </w:p>
    <w:p w14:paraId="79BF40BA" w14:textId="77777777" w:rsidR="00994554" w:rsidRPr="00CF1122" w:rsidRDefault="006F336C" w:rsidP="009322E9">
      <w:pPr>
        <w:numPr>
          <w:ilvl w:val="0"/>
          <w:numId w:val="18"/>
        </w:numPr>
        <w:tabs>
          <w:tab w:val="left" w:pos="1080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Pracownikom nie wolno tworzyć, generować, kompilować, kopiować, rozpowszechniać, uruchamiać ani wprowadzać do systemu żadnego oprogramowania, które może się automatycznie powielać, niszczyć dane, zagrażać ich bezpieczeństwu lub w jakikolwiek sposób zakłócać działanie systemu informatycznego.</w:t>
      </w:r>
    </w:p>
    <w:p w14:paraId="79BF40BC" w14:textId="77777777" w:rsidR="00994554" w:rsidRPr="003F7732" w:rsidRDefault="006F336C" w:rsidP="00F26FC9">
      <w:pPr>
        <w:tabs>
          <w:tab w:val="left" w:pos="360"/>
        </w:tabs>
        <w:suppressAutoHyphens/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caps/>
          <w:sz w:val="22"/>
          <w:szCs w:val="22"/>
          <w:u w:val="single"/>
          <w:shd w:val="clear" w:color="auto" w:fill="FFFFFF"/>
        </w:rPr>
        <w:t>Konsekwencje naruszenia polityki</w:t>
      </w:r>
    </w:p>
    <w:p w14:paraId="79BF40BD" w14:textId="77777777" w:rsidR="00994554" w:rsidRPr="00CF1122" w:rsidRDefault="006F336C" w:rsidP="009322E9">
      <w:pPr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Niestosowanie się do postanowień Polityki może pociągać za so</w:t>
      </w:r>
      <w:r w:rsid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bą konsekwencje dyscyplinarne z 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rozwiązaniem umowy o pracę / staż / praktykę włącznie i/lub konsekwencje prawne. Konsekwencje powinny być uzależnione od stopnia złej woli użytkownika, od powtarzania się naruszenia i od rodzaju zagrożenia dla bezpieczeństwa danych.</w:t>
      </w:r>
    </w:p>
    <w:p w14:paraId="79BF40BE" w14:textId="77777777" w:rsidR="00994554" w:rsidRPr="00CF1122" w:rsidRDefault="006F336C" w:rsidP="009322E9">
      <w:pPr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Naruszenie zasad Polityki przez użytkownika może być na wniosek </w:t>
      </w:r>
      <w:r w:rsidR="00625CD6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IOD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powiązane z natychmiastowym odebraniem dostępu do informacji.</w:t>
      </w:r>
    </w:p>
    <w:p w14:paraId="79BF40BF" w14:textId="77777777" w:rsidR="00994554" w:rsidRPr="00CF1122" w:rsidRDefault="006F336C" w:rsidP="009322E9">
      <w:pPr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Aby podkreślić wagę naruszeń bezpieczeństwa przez pracowników, każde takie naruszenie powinno powodować rozważenie roszczeń odszkodowawczych lub poinformowanie organów ścigania. Decyzję w tym zakresie podejmuje ADO.</w:t>
      </w:r>
    </w:p>
    <w:p w14:paraId="79BF40C2" w14:textId="77777777" w:rsidR="00994554" w:rsidRPr="003F7732" w:rsidRDefault="006F336C" w:rsidP="00F26FC9">
      <w:pPr>
        <w:suppressAutoHyphens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highlight w:val="white"/>
          <w:u w:val="single"/>
        </w:rPr>
      </w:pPr>
      <w:r w:rsidRPr="003F7732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</w:rPr>
        <w:t>POSTANOWIENIA KOŃCOWE</w:t>
      </w:r>
    </w:p>
    <w:p w14:paraId="79BF40C3" w14:textId="77777777" w:rsidR="00994554" w:rsidRPr="009322E9" w:rsidRDefault="006F336C" w:rsidP="009322E9">
      <w:pPr>
        <w:pStyle w:val="Akapitzlist"/>
        <w:numPr>
          <w:ilvl w:val="0"/>
          <w:numId w:val="3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9322E9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Niniejszy dokument stanowi najwyższej rangi dokument wewnętrzny Podmiotu w zakresie  bezpieczeństwa informacji i ochrony danych osobowych przetwarzanych w systemie informatycznym i tradycyjnym. Jest dokumentem wiążącym dla wszystkich pracowników podmiotu, oraz innych osób  z</w:t>
      </w:r>
      <w:r w:rsidR="0096140A" w:rsidRPr="009322E9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nim związanych i </w:t>
      </w:r>
      <w:r w:rsidRPr="009322E9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posiadających upoważnienia do przetwarzania danych a także innych podmiotów (stron trzecich) mających  dostęp do danych przetwarzanych w Podmiocie na podstawie odrębnych umów, określających szczegółowe zasady korzystania z danych Podmiotu.</w:t>
      </w:r>
    </w:p>
    <w:p w14:paraId="79BF40C4" w14:textId="77777777" w:rsidR="00994554" w:rsidRPr="00347F49" w:rsidRDefault="006F336C" w:rsidP="009322E9">
      <w:pPr>
        <w:pStyle w:val="Akapitzlist"/>
        <w:numPr>
          <w:ilvl w:val="0"/>
          <w:numId w:val="3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i/>
          <w:sz w:val="22"/>
          <w:szCs w:val="22"/>
          <w:highlight w:val="white"/>
        </w:rPr>
      </w:pPr>
      <w:r w:rsidRPr="009322E9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lastRenderedPageBreak/>
        <w:t>Informacje niejawne nie zostały objęte zapisami niniejszego dokumentu. Zasady ochrony informacji niejawnych reguluje ustawa o ochronie informacji niejawnych oraz wewnętrzne regulacje Podmiotu.</w:t>
      </w:r>
    </w:p>
    <w:p w14:paraId="79BF40C6" w14:textId="77777777" w:rsidR="00994554" w:rsidRPr="00CF1122" w:rsidRDefault="006F336C" w:rsidP="009322E9">
      <w:pPr>
        <w:numPr>
          <w:ilvl w:val="0"/>
          <w:numId w:val="3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Niniejsza Polityka jest dokumentem opisującym spełnienie wymogów pra</w:t>
      </w:r>
      <w:r w:rsid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wnych ogólnego rozporządzenia o 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ochronie danych RODO.</w:t>
      </w:r>
    </w:p>
    <w:p w14:paraId="79BF40C7" w14:textId="77777777" w:rsidR="00994554" w:rsidRPr="00CF1122" w:rsidRDefault="006F336C" w:rsidP="009322E9">
      <w:pPr>
        <w:numPr>
          <w:ilvl w:val="0"/>
          <w:numId w:val="3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Dokumentacja Polityki Bezpieczeństwa względem RODO wchodzi w życie z dniem </w:t>
      </w:r>
      <w:r w:rsidR="00CF1122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25.05.2018 r.</w:t>
      </w:r>
    </w:p>
    <w:p w14:paraId="79BF40C8" w14:textId="77777777" w:rsidR="00994554" w:rsidRPr="00CF1122" w:rsidRDefault="006F336C" w:rsidP="009322E9">
      <w:pPr>
        <w:numPr>
          <w:ilvl w:val="0"/>
          <w:numId w:val="39"/>
        </w:numPr>
        <w:suppressAutoHyphens/>
        <w:spacing w:line="36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highlight w:val="white"/>
        </w:rPr>
      </w:pP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Stosowanie się do przepisów zawartych w dokumentacji dotyczy wszystkich osób przetwarzających dane osobowe oraz osób znajdujących się w obszarze przetwarzania danych osobowych</w:t>
      </w:r>
      <w:r w:rsidR="00CF1122"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,</w:t>
      </w:r>
      <w:r w:rsidR="0096140A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a </w:t>
      </w:r>
      <w:r w:rsidRPr="00CF112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>podlegających Administratorowi Danych Osobowych.</w:t>
      </w:r>
    </w:p>
    <w:p w14:paraId="79BF40C9" w14:textId="77777777" w:rsidR="00994554" w:rsidRPr="00CF1122" w:rsidRDefault="00994554" w:rsidP="00F26FC9">
      <w:pPr>
        <w:suppressAutoHyphens/>
        <w:spacing w:line="360" w:lineRule="auto"/>
        <w:jc w:val="both"/>
        <w:rPr>
          <w:rFonts w:asciiTheme="minorHAnsi" w:eastAsia="Verdana" w:hAnsiTheme="minorHAnsi" w:cs="Verdana"/>
          <w:sz w:val="22"/>
          <w:szCs w:val="22"/>
          <w:shd w:val="clear" w:color="auto" w:fill="FFFFFF"/>
        </w:rPr>
      </w:pPr>
    </w:p>
    <w:p w14:paraId="79BF40CA" w14:textId="77777777" w:rsidR="00994554" w:rsidRPr="00CF1122" w:rsidRDefault="006F336C" w:rsidP="00F26FC9">
      <w:pPr>
        <w:suppressAutoHyphens/>
        <w:spacing w:line="360" w:lineRule="auto"/>
        <w:ind w:left="5103"/>
        <w:jc w:val="center"/>
        <w:rPr>
          <w:rFonts w:asciiTheme="minorHAnsi" w:eastAsia="Calibri" w:hAnsiTheme="minorHAnsi" w:cs="Calibri"/>
          <w:sz w:val="22"/>
          <w:szCs w:val="22"/>
          <w:highlight w:val="white"/>
        </w:rPr>
      </w:pPr>
      <w:r w:rsidRPr="00CF1122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Administrator Danych</w:t>
      </w:r>
    </w:p>
    <w:p w14:paraId="79BF40CB" w14:textId="77777777" w:rsidR="00994554" w:rsidRPr="00CF1122" w:rsidRDefault="00994554" w:rsidP="00F26FC9">
      <w:pPr>
        <w:suppressAutoHyphens/>
        <w:spacing w:line="360" w:lineRule="auto"/>
        <w:jc w:val="center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</w:p>
    <w:p w14:paraId="79BF40CC" w14:textId="77777777" w:rsidR="00994554" w:rsidRPr="00CF1122" w:rsidRDefault="006F336C" w:rsidP="00F26FC9">
      <w:pPr>
        <w:suppressAutoHyphens/>
        <w:spacing w:line="360" w:lineRule="auto"/>
        <w:ind w:left="5103"/>
        <w:jc w:val="center"/>
        <w:rPr>
          <w:rFonts w:asciiTheme="minorHAnsi" w:eastAsia="Calibri" w:hAnsiTheme="minorHAnsi" w:cs="Calibri"/>
          <w:i/>
          <w:sz w:val="22"/>
          <w:szCs w:val="22"/>
          <w:highlight w:val="white"/>
        </w:rPr>
      </w:pPr>
      <w:r w:rsidRPr="00CF1122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……………………………………………….</w:t>
      </w:r>
    </w:p>
    <w:p w14:paraId="79BF40CD" w14:textId="77777777" w:rsidR="00994554" w:rsidRPr="00CF1122" w:rsidRDefault="006F336C" w:rsidP="00F26FC9">
      <w:pPr>
        <w:suppressAutoHyphens/>
        <w:spacing w:line="360" w:lineRule="auto"/>
        <w:ind w:left="5103"/>
        <w:jc w:val="center"/>
        <w:rPr>
          <w:rFonts w:asciiTheme="minorHAnsi" w:hAnsiTheme="minorHAnsi"/>
          <w:sz w:val="22"/>
          <w:szCs w:val="22"/>
        </w:rPr>
      </w:pPr>
      <w:r w:rsidRPr="00CF1122">
        <w:rPr>
          <w:rFonts w:asciiTheme="minorHAnsi" w:eastAsia="Calibri" w:hAnsiTheme="minorHAnsi" w:cs="Calibri"/>
          <w:i/>
          <w:sz w:val="22"/>
          <w:szCs w:val="22"/>
          <w:shd w:val="clear" w:color="auto" w:fill="FFFFFF"/>
        </w:rPr>
        <w:t>Podpis</w:t>
      </w:r>
    </w:p>
    <w:sectPr w:rsidR="00994554" w:rsidRPr="00CF1122" w:rsidSect="007D7B03">
      <w:headerReference w:type="default" r:id="rId7"/>
      <w:footerReference w:type="default" r:id="rId8"/>
      <w:headerReference w:type="first" r:id="rId9"/>
      <w:pgSz w:w="12240" w:h="15840"/>
      <w:pgMar w:top="1418" w:right="1134" w:bottom="1276" w:left="1134" w:header="568" w:footer="45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82D2" w14:textId="77777777" w:rsidR="00AD39D2" w:rsidRDefault="00AD39D2" w:rsidP="0013746A">
      <w:r>
        <w:separator/>
      </w:r>
    </w:p>
  </w:endnote>
  <w:endnote w:type="continuationSeparator" w:id="0">
    <w:p w14:paraId="7F5D6DD3" w14:textId="77777777" w:rsidR="00AD39D2" w:rsidRDefault="00AD39D2" w:rsidP="001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4562234"/>
      <w:docPartObj>
        <w:docPartGallery w:val="Page Numbers (Bottom of Page)"/>
        <w:docPartUnique/>
      </w:docPartObj>
    </w:sdtPr>
    <w:sdtEndPr/>
    <w:sdtContent>
      <w:p w14:paraId="79BF40D3" w14:textId="77777777" w:rsidR="0096140A" w:rsidRPr="0096140A" w:rsidRDefault="0096140A" w:rsidP="0096140A">
        <w:pPr>
          <w:pStyle w:val="Stopka"/>
          <w:jc w:val="right"/>
          <w:rPr>
            <w:sz w:val="14"/>
          </w:rPr>
        </w:pPr>
        <w:r w:rsidRPr="0096140A">
          <w:rPr>
            <w:sz w:val="14"/>
          </w:rPr>
          <w:t xml:space="preserve">Strona | </w:t>
        </w:r>
        <w:r w:rsidR="008E40CE" w:rsidRPr="0096140A">
          <w:rPr>
            <w:sz w:val="14"/>
          </w:rPr>
          <w:fldChar w:fldCharType="begin"/>
        </w:r>
        <w:r w:rsidRPr="0096140A">
          <w:rPr>
            <w:sz w:val="14"/>
          </w:rPr>
          <w:instrText xml:space="preserve"> PAGE   \* MERGEFORMAT </w:instrText>
        </w:r>
        <w:r w:rsidR="008E40CE" w:rsidRPr="0096140A">
          <w:rPr>
            <w:sz w:val="14"/>
          </w:rPr>
          <w:fldChar w:fldCharType="separate"/>
        </w:r>
        <w:r w:rsidR="00F85AF1">
          <w:rPr>
            <w:noProof/>
            <w:sz w:val="14"/>
          </w:rPr>
          <w:t>4</w:t>
        </w:r>
        <w:r w:rsidR="008E40CE" w:rsidRPr="0096140A">
          <w:rPr>
            <w:sz w:val="14"/>
          </w:rPr>
          <w:fldChar w:fldCharType="end"/>
        </w:r>
        <w:r w:rsidRPr="0096140A">
          <w:rPr>
            <w:sz w:val="14"/>
          </w:rPr>
          <w:t xml:space="preserve"> </w:t>
        </w:r>
      </w:p>
    </w:sdtContent>
  </w:sdt>
  <w:p w14:paraId="79BF40D4" w14:textId="77777777" w:rsidR="0096140A" w:rsidRDefault="00961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BAB8" w14:textId="77777777" w:rsidR="00AD39D2" w:rsidRDefault="00AD39D2" w:rsidP="0013746A">
      <w:r>
        <w:separator/>
      </w:r>
    </w:p>
  </w:footnote>
  <w:footnote w:type="continuationSeparator" w:id="0">
    <w:p w14:paraId="4DB0B816" w14:textId="77777777" w:rsidR="00AD39D2" w:rsidRDefault="00AD39D2" w:rsidP="0013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0D2" w14:textId="77777777" w:rsidR="0013746A" w:rsidRPr="0013746A" w:rsidRDefault="0013746A" w:rsidP="00673207">
    <w:pPr>
      <w:pStyle w:val="Nagwek"/>
      <w:pBdr>
        <w:bottom w:val="single" w:sz="4" w:space="1" w:color="auto"/>
      </w:pBdr>
      <w:tabs>
        <w:tab w:val="center" w:pos="1134"/>
        <w:tab w:val="center" w:pos="8647"/>
      </w:tabs>
      <w:spacing w:before="0" w:after="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 w:rsidRPr="0013746A">
      <w:rPr>
        <w:rFonts w:asciiTheme="minorHAnsi" w:hAnsiTheme="minorHAnsi"/>
        <w:i/>
        <w:sz w:val="18"/>
        <w:szCs w:val="18"/>
      </w:rPr>
      <w:t xml:space="preserve">Polityka bezpieczeństwa </w:t>
    </w:r>
    <w:r w:rsidRPr="0013746A">
      <w:rPr>
        <w:rFonts w:asciiTheme="minorHAnsi" w:hAnsiTheme="minorHAnsi"/>
        <w:i/>
        <w:sz w:val="18"/>
        <w:szCs w:val="18"/>
      </w:rPr>
      <w:tab/>
      <w:t xml:space="preserve">Technikum Leśne w Warcinie </w:t>
    </w:r>
    <w:r w:rsidRPr="0013746A">
      <w:rPr>
        <w:rFonts w:asciiTheme="minorHAnsi" w:hAnsiTheme="minorHAnsi"/>
        <w:i/>
        <w:sz w:val="18"/>
        <w:szCs w:val="18"/>
      </w:rPr>
      <w:br/>
    </w:r>
    <w:r w:rsidRPr="0013746A">
      <w:rPr>
        <w:rFonts w:asciiTheme="minorHAnsi" w:hAnsiTheme="minorHAnsi"/>
        <w:i/>
        <w:sz w:val="18"/>
        <w:szCs w:val="18"/>
      </w:rPr>
      <w:tab/>
      <w:t>i ochrony danych osobowych</w:t>
    </w:r>
    <w:r>
      <w:rPr>
        <w:rFonts w:asciiTheme="minorHAnsi" w:hAnsiTheme="minorHAnsi"/>
        <w:sz w:val="18"/>
        <w:szCs w:val="18"/>
      </w:rPr>
      <w:tab/>
    </w:r>
    <w:r w:rsidRPr="0013746A">
      <w:rPr>
        <w:rFonts w:asciiTheme="minorHAnsi" w:hAnsiTheme="minorHAnsi"/>
        <w:i/>
        <w:sz w:val="18"/>
        <w:szCs w:val="18"/>
      </w:rPr>
      <w:t>im. prof. Stanisława Sokołowskiego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0D5" w14:textId="77777777" w:rsidR="0013746A" w:rsidRPr="0013746A" w:rsidRDefault="00673207" w:rsidP="00673207">
    <w:pPr>
      <w:pStyle w:val="Nagwek"/>
      <w:pBdr>
        <w:bottom w:val="single" w:sz="4" w:space="1" w:color="auto"/>
      </w:pBdr>
      <w:tabs>
        <w:tab w:val="right" w:pos="9498"/>
      </w:tabs>
      <w:spacing w:before="0" w:after="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pl-PL" w:bidi="ar-SA"/>
      </w:rPr>
      <w:drawing>
        <wp:anchor distT="0" distB="0" distL="114300" distR="114300" simplePos="0" relativeHeight="251658240" behindDoc="0" locked="0" layoutInCell="1" allowOverlap="1" wp14:anchorId="79BF40D6" wp14:editId="79BF40D7">
          <wp:simplePos x="0" y="0"/>
          <wp:positionH relativeFrom="column">
            <wp:posOffset>-22772</wp:posOffset>
          </wp:positionH>
          <wp:positionV relativeFrom="paragraph">
            <wp:posOffset>-243722</wp:posOffset>
          </wp:positionV>
          <wp:extent cx="714597" cy="712381"/>
          <wp:effectExtent l="19050" t="0" r="9303" b="0"/>
          <wp:wrapNone/>
          <wp:docPr id="3" name="Obraz 0" descr="logo szkoły nowe stopka 0.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nowe stopka 0.4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597" cy="7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46A">
      <w:rPr>
        <w:rFonts w:asciiTheme="minorHAnsi" w:hAnsiTheme="minorHAnsi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79BF40D8" wp14:editId="79BF40D9">
          <wp:simplePos x="0" y="0"/>
          <wp:positionH relativeFrom="column">
            <wp:posOffset>691825</wp:posOffset>
          </wp:positionH>
          <wp:positionV relativeFrom="paragraph">
            <wp:posOffset>-105499</wp:posOffset>
          </wp:positionV>
          <wp:extent cx="1203694" cy="425303"/>
          <wp:effectExtent l="19050" t="0" r="0" b="0"/>
          <wp:wrapNone/>
          <wp:docPr id="4" name="Obraz 1" descr="LOGO Szkoły leśne MS stopka 0.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leśne MS stopka 0.4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694" cy="425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46A">
      <w:rPr>
        <w:rFonts w:asciiTheme="minorHAnsi" w:hAnsiTheme="minorHAnsi"/>
        <w:sz w:val="18"/>
        <w:szCs w:val="18"/>
      </w:rPr>
      <w:tab/>
    </w:r>
    <w:r w:rsidR="0013746A" w:rsidRPr="0013746A">
      <w:rPr>
        <w:rFonts w:asciiTheme="minorHAnsi" w:hAnsiTheme="minorHAnsi"/>
        <w:i/>
        <w:sz w:val="18"/>
        <w:szCs w:val="18"/>
      </w:rPr>
      <w:t xml:space="preserve">Technikum Leśne w Warcinie </w:t>
    </w:r>
    <w:r w:rsidR="0013746A" w:rsidRPr="0013746A">
      <w:rPr>
        <w:rFonts w:asciiTheme="minorHAnsi" w:hAnsiTheme="minorHAnsi"/>
        <w:i/>
        <w:sz w:val="18"/>
        <w:szCs w:val="18"/>
      </w:rPr>
      <w:br/>
    </w:r>
    <w:r w:rsidR="0013746A" w:rsidRPr="0013746A">
      <w:rPr>
        <w:rFonts w:asciiTheme="minorHAnsi" w:hAnsiTheme="minorHAnsi"/>
        <w:i/>
        <w:sz w:val="18"/>
        <w:szCs w:val="18"/>
      </w:rPr>
      <w:tab/>
      <w:t>im. prof. Stanisława Sokołowskiego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005"/>
    <w:multiLevelType w:val="multilevel"/>
    <w:tmpl w:val="F25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64DEC"/>
    <w:multiLevelType w:val="hybridMultilevel"/>
    <w:tmpl w:val="5888C2B8"/>
    <w:lvl w:ilvl="0" w:tplc="DD6627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E66"/>
    <w:multiLevelType w:val="multilevel"/>
    <w:tmpl w:val="D0AE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7D6777"/>
    <w:multiLevelType w:val="multilevel"/>
    <w:tmpl w:val="0F1CF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DC45C1"/>
    <w:multiLevelType w:val="multilevel"/>
    <w:tmpl w:val="67CA0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447707"/>
    <w:multiLevelType w:val="hybridMultilevel"/>
    <w:tmpl w:val="88BA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0AE"/>
    <w:multiLevelType w:val="hybridMultilevel"/>
    <w:tmpl w:val="257C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0916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A3132C3"/>
    <w:multiLevelType w:val="hybridMultilevel"/>
    <w:tmpl w:val="0FE8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67AF8"/>
    <w:multiLevelType w:val="multilevel"/>
    <w:tmpl w:val="97E6F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7F238C"/>
    <w:multiLevelType w:val="hybridMultilevel"/>
    <w:tmpl w:val="5B5E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54E3"/>
    <w:multiLevelType w:val="multilevel"/>
    <w:tmpl w:val="BC081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81434D7"/>
    <w:multiLevelType w:val="multilevel"/>
    <w:tmpl w:val="95209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601054"/>
    <w:multiLevelType w:val="multilevel"/>
    <w:tmpl w:val="47E8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B7720A"/>
    <w:multiLevelType w:val="multilevel"/>
    <w:tmpl w:val="5082E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2C56DE"/>
    <w:multiLevelType w:val="hybridMultilevel"/>
    <w:tmpl w:val="78DAB6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0736E5E"/>
    <w:multiLevelType w:val="multilevel"/>
    <w:tmpl w:val="AF4465E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15594E"/>
    <w:multiLevelType w:val="hybridMultilevel"/>
    <w:tmpl w:val="21DE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549C4"/>
    <w:multiLevelType w:val="hybridMultilevel"/>
    <w:tmpl w:val="F5BA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6B"/>
    <w:multiLevelType w:val="multilevel"/>
    <w:tmpl w:val="EDB25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3512A67"/>
    <w:multiLevelType w:val="hybridMultilevel"/>
    <w:tmpl w:val="430C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533E"/>
    <w:multiLevelType w:val="hybridMultilevel"/>
    <w:tmpl w:val="882C9592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" w15:restartNumberingAfterBreak="0">
    <w:nsid w:val="487B5AC9"/>
    <w:multiLevelType w:val="multilevel"/>
    <w:tmpl w:val="1E609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A6D6D6E"/>
    <w:multiLevelType w:val="multilevel"/>
    <w:tmpl w:val="A4863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7B755D2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746E01"/>
    <w:multiLevelType w:val="hybridMultilevel"/>
    <w:tmpl w:val="BAE8F1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A5A05EC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F54C6F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590129"/>
    <w:multiLevelType w:val="hybridMultilevel"/>
    <w:tmpl w:val="5B5E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A7EE5"/>
    <w:multiLevelType w:val="hybridMultilevel"/>
    <w:tmpl w:val="D87ED9C0"/>
    <w:lvl w:ilvl="0" w:tplc="DD66275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E62B1"/>
    <w:multiLevelType w:val="multilevel"/>
    <w:tmpl w:val="C95A3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DD3C79"/>
    <w:multiLevelType w:val="multilevel"/>
    <w:tmpl w:val="383CE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6A0590B"/>
    <w:multiLevelType w:val="multilevel"/>
    <w:tmpl w:val="81F04A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297A6F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447F0C"/>
    <w:multiLevelType w:val="hybridMultilevel"/>
    <w:tmpl w:val="669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B56B3"/>
    <w:multiLevelType w:val="hybridMultilevel"/>
    <w:tmpl w:val="932EF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1287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887329D"/>
    <w:multiLevelType w:val="multilevel"/>
    <w:tmpl w:val="DF429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944026A"/>
    <w:multiLevelType w:val="multilevel"/>
    <w:tmpl w:val="74CE5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BE608EC"/>
    <w:multiLevelType w:val="multilevel"/>
    <w:tmpl w:val="AB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CD01935"/>
    <w:multiLevelType w:val="hybridMultilevel"/>
    <w:tmpl w:val="FC56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70B4"/>
    <w:multiLevelType w:val="hybridMultilevel"/>
    <w:tmpl w:val="EE32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22"/>
  </w:num>
  <w:num w:numId="5">
    <w:abstractNumId w:val="37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7"/>
  </w:num>
  <w:num w:numId="17">
    <w:abstractNumId w:val="30"/>
  </w:num>
  <w:num w:numId="18">
    <w:abstractNumId w:val="38"/>
  </w:num>
  <w:num w:numId="19">
    <w:abstractNumId w:val="7"/>
  </w:num>
  <w:num w:numId="20">
    <w:abstractNumId w:val="16"/>
  </w:num>
  <w:num w:numId="21">
    <w:abstractNumId w:val="15"/>
  </w:num>
  <w:num w:numId="22">
    <w:abstractNumId w:val="29"/>
  </w:num>
  <w:num w:numId="23">
    <w:abstractNumId w:val="1"/>
  </w:num>
  <w:num w:numId="24">
    <w:abstractNumId w:val="40"/>
  </w:num>
  <w:num w:numId="25">
    <w:abstractNumId w:val="21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10"/>
  </w:num>
  <w:num w:numId="31">
    <w:abstractNumId w:val="6"/>
  </w:num>
  <w:num w:numId="32">
    <w:abstractNumId w:val="18"/>
  </w:num>
  <w:num w:numId="33">
    <w:abstractNumId w:val="34"/>
  </w:num>
  <w:num w:numId="34">
    <w:abstractNumId w:val="17"/>
  </w:num>
  <w:num w:numId="35">
    <w:abstractNumId w:val="41"/>
  </w:num>
  <w:num w:numId="36">
    <w:abstractNumId w:val="25"/>
  </w:num>
  <w:num w:numId="37">
    <w:abstractNumId w:val="24"/>
  </w:num>
  <w:num w:numId="38">
    <w:abstractNumId w:val="33"/>
  </w:num>
  <w:num w:numId="39">
    <w:abstractNumId w:val="36"/>
  </w:num>
  <w:num w:numId="40">
    <w:abstractNumId w:val="39"/>
  </w:num>
  <w:num w:numId="41">
    <w:abstractNumId w:val="32"/>
  </w:num>
  <w:num w:numId="4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554"/>
    <w:rsid w:val="000605B8"/>
    <w:rsid w:val="000C3679"/>
    <w:rsid w:val="00101A54"/>
    <w:rsid w:val="0010682D"/>
    <w:rsid w:val="00114612"/>
    <w:rsid w:val="0013746A"/>
    <w:rsid w:val="001D7999"/>
    <w:rsid w:val="00206655"/>
    <w:rsid w:val="0022433B"/>
    <w:rsid w:val="00244EC5"/>
    <w:rsid w:val="002A02E3"/>
    <w:rsid w:val="002E11A7"/>
    <w:rsid w:val="002E261D"/>
    <w:rsid w:val="00325B19"/>
    <w:rsid w:val="00342202"/>
    <w:rsid w:val="00347F49"/>
    <w:rsid w:val="00381C63"/>
    <w:rsid w:val="00394D88"/>
    <w:rsid w:val="003C6772"/>
    <w:rsid w:val="003F7732"/>
    <w:rsid w:val="0047119A"/>
    <w:rsid w:val="0047552E"/>
    <w:rsid w:val="0047765B"/>
    <w:rsid w:val="004D6C3C"/>
    <w:rsid w:val="005606F2"/>
    <w:rsid w:val="00587B9D"/>
    <w:rsid w:val="00617F69"/>
    <w:rsid w:val="00625CD6"/>
    <w:rsid w:val="006279AB"/>
    <w:rsid w:val="00640423"/>
    <w:rsid w:val="00647754"/>
    <w:rsid w:val="00673207"/>
    <w:rsid w:val="006F336C"/>
    <w:rsid w:val="007175A4"/>
    <w:rsid w:val="007B18D1"/>
    <w:rsid w:val="007C7C4A"/>
    <w:rsid w:val="007D28F8"/>
    <w:rsid w:val="007D7B03"/>
    <w:rsid w:val="007E3B68"/>
    <w:rsid w:val="008A4C72"/>
    <w:rsid w:val="008E40CE"/>
    <w:rsid w:val="0092296B"/>
    <w:rsid w:val="009322E9"/>
    <w:rsid w:val="00937564"/>
    <w:rsid w:val="0096140A"/>
    <w:rsid w:val="00994554"/>
    <w:rsid w:val="009C341B"/>
    <w:rsid w:val="009D06EE"/>
    <w:rsid w:val="00A3319D"/>
    <w:rsid w:val="00A9721E"/>
    <w:rsid w:val="00AB0CC8"/>
    <w:rsid w:val="00AC1705"/>
    <w:rsid w:val="00AD39D2"/>
    <w:rsid w:val="00B30670"/>
    <w:rsid w:val="00B5160C"/>
    <w:rsid w:val="00B715CF"/>
    <w:rsid w:val="00B7582B"/>
    <w:rsid w:val="00BC0E86"/>
    <w:rsid w:val="00C16FC0"/>
    <w:rsid w:val="00C267AA"/>
    <w:rsid w:val="00C51111"/>
    <w:rsid w:val="00CB0175"/>
    <w:rsid w:val="00CF1122"/>
    <w:rsid w:val="00D024A0"/>
    <w:rsid w:val="00DD4FB6"/>
    <w:rsid w:val="00DF7B8A"/>
    <w:rsid w:val="00E44FB7"/>
    <w:rsid w:val="00E91B14"/>
    <w:rsid w:val="00EE3490"/>
    <w:rsid w:val="00F26785"/>
    <w:rsid w:val="00F26FC9"/>
    <w:rsid w:val="00F33F08"/>
    <w:rsid w:val="00F45EAE"/>
    <w:rsid w:val="00F85AF1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F3FCD"/>
  <w15:docId w15:val="{7B99BA65-8EE5-41C2-A3D2-CB96384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55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945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94554"/>
    <w:pPr>
      <w:spacing w:after="140" w:line="288" w:lineRule="auto"/>
    </w:pPr>
  </w:style>
  <w:style w:type="paragraph" w:styleId="Lista">
    <w:name w:val="List"/>
    <w:basedOn w:val="Tekstpodstawowy"/>
    <w:rsid w:val="00994554"/>
  </w:style>
  <w:style w:type="paragraph" w:customStyle="1" w:styleId="Legenda1">
    <w:name w:val="Legenda1"/>
    <w:basedOn w:val="Normalny"/>
    <w:qFormat/>
    <w:rsid w:val="009945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9455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374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746A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6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6A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F112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3600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Coxiu XIII</cp:lastModifiedBy>
  <cp:revision>69</cp:revision>
  <cp:lastPrinted>2018-06-18T13:17:00Z</cp:lastPrinted>
  <dcterms:created xsi:type="dcterms:W3CDTF">2018-06-18T05:24:00Z</dcterms:created>
  <dcterms:modified xsi:type="dcterms:W3CDTF">2018-06-18T17:29:00Z</dcterms:modified>
  <dc:language>pl-PL</dc:language>
</cp:coreProperties>
</file>